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SMCR Reform 2026 — Board and NED Accountability Pack</w:t>
      </w:r>
    </w:p>
    <w:p>
      <w:pPr>
        <w:spacing w:after="240"/>
      </w:pPr>
      <w:r>
        <w:rPr>
          <w:rFonts w:ascii="Arial" w:cs="Arial" w:eastAsia="Arial" w:hAnsi="Arial"/>
          <w:color w:val="444444"/>
          <w:sz w:val="24"/>
          <w:szCs w:val="24"/>
        </w:rPr>
        <w:t xml:space="preserve">For: NEDs, Senior Managers, General Counsel, Compliance Directors at FCA/PRA-regulated firms</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What is Changing</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What is NOT Changing</w:t>
      </w:r>
      <w:r>
        <w:rPr>
          <w:rFonts w:ascii="Arial" w:cs="Arial" w:eastAsia="Arial" w:hAnsi="Arial"/>
          <w:sz w:val="20"/>
          <w:szCs w:val="20"/>
        </w:rPr>
        <w:t xml:space="preserve">	6</w:t>
      </w:r>
    </w:p>
    <w:p>
      <w:pPr>
        <w:tabs>
          <w:tab w:val="right" w:pos="9638"/>
        </w:tabs>
        <w:spacing w:after="160"/>
      </w:pPr>
      <w:r>
        <w:rPr>
          <w:rFonts w:ascii="Arial" w:cs="Arial" w:eastAsia="Arial" w:hAnsi="Arial"/>
          <w:sz w:val="20"/>
          <w:szCs w:val="20"/>
        </w:rPr>
        <w:t xml:space="preserve">4.  Current SMF Roles for NEDs</w:t>
      </w:r>
      <w:r>
        <w:rPr>
          <w:rFonts w:ascii="Arial" w:cs="Arial" w:eastAsia="Arial" w:hAnsi="Arial"/>
          <w:sz w:val="20"/>
          <w:szCs w:val="20"/>
        </w:rPr>
        <w:t xml:space="preserve">	7</w:t>
      </w:r>
    </w:p>
    <w:p>
      <w:pPr>
        <w:tabs>
          <w:tab w:val="right" w:pos="9638"/>
        </w:tabs>
        <w:spacing w:after="160"/>
      </w:pPr>
      <w:r>
        <w:rPr>
          <w:rFonts w:ascii="Arial" w:cs="Arial" w:eastAsia="Arial" w:hAnsi="Arial"/>
          <w:sz w:val="20"/>
          <w:szCs w:val="20"/>
        </w:rPr>
        <w:t xml:space="preserve">5.  Consultation Response — Should Your Firm Respond?</w:t>
      </w:r>
      <w:r>
        <w:rPr>
          <w:rFonts w:ascii="Arial" w:cs="Arial" w:eastAsia="Arial" w:hAnsi="Arial"/>
          <w:sz w:val="20"/>
          <w:szCs w:val="20"/>
        </w:rPr>
        <w:t xml:space="preserve">	9</w:t>
      </w:r>
    </w:p>
    <w:p>
      <w:pPr>
        <w:tabs>
          <w:tab w:val="right" w:pos="9638"/>
        </w:tabs>
        <w:spacing w:after="160"/>
      </w:pPr>
      <w:r>
        <w:rPr>
          <w:rFonts w:ascii="Arial" w:cs="Arial" w:eastAsia="Arial" w:hAnsi="Arial"/>
          <w:sz w:val="20"/>
          <w:szCs w:val="20"/>
        </w:rPr>
        <w:t xml:space="preserve">6.  Transitional Planning Checklist</w:t>
      </w:r>
      <w:r>
        <w:rPr>
          <w:rFonts w:ascii="Arial" w:cs="Arial" w:eastAsia="Arial" w:hAnsi="Arial"/>
          <w:sz w:val="20"/>
          <w:szCs w:val="20"/>
        </w:rPr>
        <w:t xml:space="preserve">	10</w:t>
      </w:r>
    </w:p>
    <w:p>
      <w:pPr>
        <w:tabs>
          <w:tab w:val="right" w:pos="9638"/>
        </w:tabs>
        <w:spacing w:after="160"/>
      </w:pPr>
      <w:r>
        <w:rPr>
          <w:rFonts w:ascii="Arial" w:cs="Arial" w:eastAsia="Arial" w:hAnsi="Arial"/>
          <w:sz w:val="20"/>
          <w:szCs w:val="20"/>
        </w:rPr>
        <w:t xml:space="preserve">7.  Board Questions</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8.  Key References</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9.  About INFORMD</w:t>
      </w:r>
      <w:r>
        <w:rPr>
          <w:rFonts w:ascii="Arial" w:cs="Arial" w:eastAsia="Arial" w:hAnsi="Arial"/>
          <w:sz w:val="20"/>
          <w:szCs w:val="20"/>
        </w:rPr>
        <w:t xml:space="preserve">	13</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SMCR (the Senior Managers and Certification Regime) is undergoing its most significant reform since its introduction. The FCA (CP25/21) and PRA (CP18/25) published joint consultation papers in July 2025 proposing substantial changes to the regime — including the removal of the Certification Regime from primary legislation and simplification of Statements of Responsibilities.</w:t>
      </w:r>
    </w:p>
    <w:p>
      <w:pPr>
        <w:spacing w:after="160"/>
      </w:pPr>
      <w:r>
        <w:rPr>
          <w:rFonts w:ascii="Arial" w:cs="Arial" w:eastAsia="Arial" w:hAnsi="Arial"/>
          <w:sz w:val="20"/>
          <w:szCs w:val="20"/>
        </w:rPr>
        <w:t xml:space="preserve">HM Treasury has confirmed Phase 2 legislative changes via a draft Bill. However, NEDs and Senior Managers must understand a critical point: the reforms do not remove personal accountability.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CRITICAL: The duty of responsibility under s.66B FSMA 2000 — which makes Senior Managers personally liable for regulatory breaches in their areas of oversight — is NOT being changed. Reform of the administrative framework does not reduce individual regulatory risk for named Senior Managers.</w:t>
            </w:r>
          </w:p>
        </w:tc>
      </w:tr>
    </w:tbl>
    <w:p>
      <w:pPr>
        <w:spacing w:after="160"/>
      </w:pPr>
      <w:r>
        <w:rPr>
          <w:rFonts w:ascii="Arial" w:cs="Arial" w:eastAsia="Arial" w:hAnsi="Arial"/>
          <w:sz w:val="20"/>
          <w:szCs w:val="20"/>
        </w:rPr>
        <w:t xml:space="preserve"/>
      </w:r>
    </w:p>
    <w:p>
      <w:pPr>
        <w:spacing w:after="160"/>
      </w:pPr>
      <w:r>
        <w:rPr>
          <w:rFonts w:ascii="Arial" w:cs="Arial" w:eastAsia="Arial" w:hAnsi="Arial"/>
          <w:sz w:val="20"/>
          <w:szCs w:val="20"/>
        </w:rPr>
        <w:t xml:space="preserve">This pack provides NEDs and Senior Managers with:</w:t>
      </w:r>
    </w:p>
    <w:p>
      <w:pPr>
        <w:pStyle w:val="ListParagraph"/>
        <w:numPr>
          <w:ilvl w:val="0"/>
          <w:numId w:val="2"/>
        </w:numPr>
      </w:pPr>
      <w:r>
        <w:rPr>
          <w:rFonts w:ascii="Arial" w:cs="Arial" w:eastAsia="Arial" w:hAnsi="Arial"/>
          <w:sz w:val="20"/>
          <w:szCs w:val="20"/>
        </w:rPr>
        <w:t xml:space="preserve">A clear summary of what is changing and what is not</w:t>
      </w:r>
    </w:p>
    <w:p>
      <w:pPr>
        <w:pStyle w:val="ListParagraph"/>
        <w:numPr>
          <w:ilvl w:val="0"/>
          <w:numId w:val="2"/>
        </w:numPr>
      </w:pPr>
      <w:r>
        <w:rPr>
          <w:rFonts w:ascii="Arial" w:cs="Arial" w:eastAsia="Arial" w:hAnsi="Arial"/>
          <w:sz w:val="20"/>
          <w:szCs w:val="20"/>
        </w:rPr>
        <w:t xml:space="preserve">A review of current NED SMF roles and their accountability scope</w:t>
      </w:r>
    </w:p>
    <w:p>
      <w:pPr>
        <w:pStyle w:val="ListParagraph"/>
        <w:numPr>
          <w:ilvl w:val="0"/>
          <w:numId w:val="2"/>
        </w:numPr>
      </w:pPr>
      <w:r>
        <w:rPr>
          <w:rFonts w:ascii="Arial" w:cs="Arial" w:eastAsia="Arial" w:hAnsi="Arial"/>
          <w:sz w:val="20"/>
          <w:szCs w:val="20"/>
        </w:rPr>
        <w:t xml:space="preserve">Guidance on whether and how to engage with the CP25/21/CP18/25 consultation</w:t>
      </w:r>
    </w:p>
    <w:p>
      <w:pPr>
        <w:pStyle w:val="ListParagraph"/>
        <w:numPr>
          <w:ilvl w:val="0"/>
          <w:numId w:val="2"/>
        </w:numPr>
      </w:pPr>
      <w:r>
        <w:rPr>
          <w:rFonts w:ascii="Arial" w:cs="Arial" w:eastAsia="Arial" w:hAnsi="Arial"/>
          <w:sz w:val="20"/>
          <w:szCs w:val="20"/>
        </w:rPr>
        <w:t xml:space="preserve">A transitional planning checklist</w:t>
      </w:r>
    </w:p>
    <w:p>
      <w:pPr>
        <w:pStyle w:val="ListParagraph"/>
        <w:numPr>
          <w:ilvl w:val="0"/>
          <w:numId w:val="2"/>
        </w:numPr>
      </w:pPr>
      <w:r>
        <w:rPr>
          <w:rFonts w:ascii="Arial" w:cs="Arial" w:eastAsia="Arial" w:hAnsi="Arial"/>
          <w:sz w:val="20"/>
          <w:szCs w:val="20"/>
        </w:rPr>
        <w:t xml:space="preserve">Board questions and key references</w:t>
      </w:r>
    </w:p>
    <w:p>
      <w:pPr>
        <w:pStyle w:val="Heading1"/>
        <w:pageBreakBefore/>
      </w:pPr>
      <w:r>
        <w:rPr>
          <w:rFonts w:ascii="Arial" w:cs="Arial" w:eastAsia="Arial" w:hAnsi="Arial"/>
          <w:b/>
          <w:bCs/>
          <w:color w:val="1A2744"/>
          <w:sz w:val="32"/>
          <w:szCs w:val="32"/>
        </w:rPr>
        <w:t xml:space="preserve">2. What is Changing</w:t>
      </w:r>
    </w:p>
    <w:p>
      <w:pPr>
        <w:spacing w:after="160"/>
      </w:pPr>
      <w:r>
        <w:rPr>
          <w:rFonts w:ascii="Arial" w:cs="Arial" w:eastAsia="Arial" w:hAnsi="Arial"/>
          <w:sz w:val="20"/>
          <w:szCs w:val="20"/>
        </w:rPr>
        <w:t xml:space="preserve">The following table summarises the key proposed changes and their practical implications for NEDs and Senior Managers.</w:t>
      </w:r>
    </w:p>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NOTE: These are proposals subject to consultation. Final rules will be published following FCA/PRA consultation closing. Monitor the FCA and PRA websites for the final rules and implementation timeline. Firms should not make structural changes based on consultation proposals alone.</w:t>
            </w:r>
          </w:p>
        </w:tc>
      </w:tr>
    </w:tbl>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is Changing</w:t>
            </w:r>
          </w:p>
        </w:tc>
        <w:tc>
          <w:tcPr>
            <w:tcW w:type="dxa" w:w="6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This Means for NEDs and Senior Managers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Certification Regime — being removed from primary legislation (HMT Phase 2 Bill)</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annual certification obligation for Certified Persons will no longer be a requirement under primary statute. Firms may choose to retain an internal equivalent certification process. However, individuals who were previously certified and are now out of scope of the statutory regime remain subject to Conduct Rules.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Statements of Responsibilities (SoRs) — being simplified</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statutory requirement for detailed SoRs is being reduced. Shorter, simpler SoRs are expected under the new framework. However, accountability for named areas of oversight remains fully in force under s.66B. A simpler SoR does not mean reduced accountability — it means the documentation is simplified.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Total number of SMF roles — being reduced</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FCA and PRA are proposing to reduce the overall number of SMF designations. Some NED SMFs are under review. Firms must monitor consultation outcomes carefully before assuming any specific SMF will be retained or removed.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Conduct Rules — being simplified</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individual Conduct Rules are being reviewed for simplification. The core standards of behaviour expected of Senior Managers and Certified Persons will be retained in substance, though the specific rule drafting may change.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Regulatory reference obligations — minor amendments proposed</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regulatory reference framework for SMCR leavers is subject to technical amendments. The core obligation to provide references on request when senior managers move between firms is being retained.</w:t>
            </w:r>
          </w:p>
        </w:tc>
      </w:tr>
    </w:tbl>
    <w:p>
      <w:pPr>
        <w:pStyle w:val="Heading1"/>
        <w:pageBreakBefore/>
      </w:pPr>
      <w:r>
        <w:rPr>
          <w:rFonts w:ascii="Arial" w:cs="Arial" w:eastAsia="Arial" w:hAnsi="Arial"/>
          <w:b/>
          <w:bCs/>
          <w:color w:val="1A2744"/>
          <w:sz w:val="32"/>
          <w:szCs w:val="32"/>
        </w:rPr>
        <w:t xml:space="preserve">3. What is NOT Changing</w:t>
      </w:r>
    </w:p>
    <w:p>
      <w:pPr>
        <w:spacing w:after="160"/>
      </w:pPr>
      <w:r>
        <w:rPr>
          <w:rFonts w:ascii="Arial" w:cs="Arial" w:eastAsia="Arial" w:hAnsi="Arial"/>
          <w:sz w:val="20"/>
          <w:szCs w:val="20"/>
        </w:rPr>
        <w:t xml:space="preserve">The reform narrative carries a significant risk: that boards, NEDs, and Senior Managers conclude that personal accountability under SMCR is being relaxed. It is not.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The following elements of SMCR are NOT proposed to change under CP25/21 or CP18/25, and are not subject to the HMT Phase 2 legislative Bill.</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The Duty of Responsibility — s.66B FSMA 2000</w:t>
      </w:r>
    </w:p>
    <w:p>
      <w:pPr>
        <w:spacing w:after="160"/>
      </w:pPr>
      <w:r>
        <w:rPr>
          <w:rFonts w:ascii="Arial" w:cs="Arial" w:eastAsia="Arial" w:hAnsi="Arial"/>
          <w:sz w:val="20"/>
          <w:szCs w:val="20"/>
        </w:rPr>
        <w:t xml:space="preserve">Section 66B of the Financial Services and Markets Act 2000 establishes the duty of responsibility for Senior Managers. Under this duty, if a regulated firm breaches a regulatory requirement in a Senior Manager's area of responsibility, and the Senior Manager failed to take such steps as it was reasonable in all the circumstances for a person in that position to take to avoid the contravention occurring, the Senior Manager is guilty of misconduct and may be sanctioned by the FCA or PRA.</w:t>
      </w:r>
    </w:p>
    <w:p>
      <w:pPr>
        <w:spacing w:after="160"/>
      </w:pPr>
      <w:r>
        <w:rPr>
          <w:rFonts w:ascii="Arial" w:cs="Arial" w:eastAsia="Arial" w:hAnsi="Arial"/>
          <w:sz w:val="20"/>
          <w:szCs w:val="20"/>
        </w:rPr>
        <w:t xml:space="preserve">This duty is not changing. A NED who holds an SMF role remains personally exposed to enforcement action for regulatory failures in their area of oversight.</w:t>
      </w:r>
    </w:p>
    <w:p>
      <w:pPr>
        <w:pStyle w:val="Heading2"/>
      </w:pPr>
      <w:r>
        <w:rPr>
          <w:rFonts w:ascii="Arial" w:cs="Arial" w:eastAsia="Arial" w:hAnsi="Arial"/>
          <w:b/>
          <w:bCs/>
          <w:color w:val="1A2744"/>
          <w:sz w:val="26"/>
          <w:szCs w:val="26"/>
        </w:rPr>
        <w:t xml:space="preserve">FCA and PRA Enforcement Powers</w:t>
      </w:r>
    </w:p>
    <w:p>
      <w:pPr>
        <w:spacing w:after="160"/>
      </w:pPr>
      <w:r>
        <w:rPr>
          <w:rFonts w:ascii="Arial" w:cs="Arial" w:eastAsia="Arial" w:hAnsi="Arial"/>
          <w:sz w:val="20"/>
          <w:szCs w:val="20"/>
        </w:rPr>
        <w:t xml:space="preserve">The FCA and PRA retain full enforcement powers against Senior Managers under SMCR. The reforms do not affect the regulators' ability to investigate, censure, fine, or ban individuals who fail to meet the required standards.</w:t>
      </w:r>
    </w:p>
    <w:p>
      <w:pPr>
        <w:pStyle w:val="Heading2"/>
      </w:pPr>
      <w:r>
        <w:rPr>
          <w:rFonts w:ascii="Arial" w:cs="Arial" w:eastAsia="Arial" w:hAnsi="Arial"/>
          <w:b/>
          <w:bCs/>
          <w:color w:val="1A2744"/>
          <w:sz w:val="26"/>
          <w:szCs w:val="26"/>
        </w:rPr>
        <w:t xml:space="preserve">Fit and Proper Requirements</w:t>
      </w:r>
    </w:p>
    <w:p>
      <w:pPr>
        <w:spacing w:after="160"/>
      </w:pPr>
      <w:r>
        <w:rPr>
          <w:rFonts w:ascii="Arial" w:cs="Arial" w:eastAsia="Arial" w:hAnsi="Arial"/>
          <w:sz w:val="20"/>
          <w:szCs w:val="20"/>
        </w:rPr>
        <w:t xml:space="preserve">The requirement for firms to assess SMF holders as fit and proper — covering honesty, integrity, competence, and financial soundness — is not changing. NEDs with SMF roles must continue to be assessed as fit and proper on appointment and on an ongoing basis.</w:t>
      </w:r>
    </w:p>
    <w:p>
      <w:pPr>
        <w:pStyle w:val="Heading2"/>
      </w:pPr>
      <w:r>
        <w:rPr>
          <w:rFonts w:ascii="Arial" w:cs="Arial" w:eastAsia="Arial" w:hAnsi="Arial"/>
          <w:b/>
          <w:bCs/>
          <w:color w:val="1A2744"/>
          <w:sz w:val="26"/>
          <w:szCs w:val="26"/>
        </w:rPr>
        <w:t xml:space="preserve">Conduct Rules for Senior Managers</w:t>
      </w:r>
    </w:p>
    <w:p>
      <w:pPr>
        <w:spacing w:after="160"/>
      </w:pPr>
      <w:r>
        <w:rPr>
          <w:rFonts w:ascii="Arial" w:cs="Arial" w:eastAsia="Arial" w:hAnsi="Arial"/>
          <w:sz w:val="20"/>
          <w:szCs w:val="20"/>
        </w:rPr>
        <w:t xml:space="preserve">While the drafting of Conduct Rules may be simplified, the substantive standards — that Senior Managers must act with integrity, due skill and care, and open and co-operative dealings with regulators — are not changing.</w:t>
      </w:r>
    </w:p>
    <w:p>
      <w:pPr>
        <w:pStyle w:val="Heading2"/>
      </w:pPr>
      <w:r>
        <w:rPr>
          <w:rFonts w:ascii="Arial" w:cs="Arial" w:eastAsia="Arial" w:hAnsi="Arial"/>
          <w:b/>
          <w:bCs/>
          <w:color w:val="1A2744"/>
          <w:sz w:val="26"/>
          <w:szCs w:val="26"/>
        </w:rPr>
        <w:t xml:space="preserve">Regulatory Reference Obligations</w:t>
      </w:r>
    </w:p>
    <w:p>
      <w:pPr>
        <w:spacing w:after="160"/>
      </w:pPr>
      <w:r>
        <w:rPr>
          <w:rFonts w:ascii="Arial" w:cs="Arial" w:eastAsia="Arial" w:hAnsi="Arial"/>
          <w:sz w:val="20"/>
          <w:szCs w:val="20"/>
        </w:rPr>
        <w:t xml:space="preserve">The obligation to provide regulatory references when an SMF holder leaves and seeks a role at another firm is being retained. The reforms propose only minor technical changes to the reference framework.</w:t>
      </w:r>
    </w:p>
    <w:p>
      <w:pPr>
        <w:pStyle w:val="Heading1"/>
        <w:pageBreakBefore/>
      </w:pPr>
      <w:r>
        <w:rPr>
          <w:rFonts w:ascii="Arial" w:cs="Arial" w:eastAsia="Arial" w:hAnsi="Arial"/>
          <w:b/>
          <w:bCs/>
          <w:color w:val="1A2744"/>
          <w:sz w:val="32"/>
          <w:szCs w:val="32"/>
        </w:rPr>
        <w:t xml:space="preserve">4. Current SMF Roles for NEDs</w:t>
      </w:r>
    </w:p>
    <w:p>
      <w:pPr>
        <w:spacing w:after="160"/>
      </w:pPr>
      <w:r>
        <w:rPr>
          <w:rFonts w:ascii="Arial" w:cs="Arial" w:eastAsia="Arial" w:hAnsi="Arial"/>
          <w:sz w:val="20"/>
          <w:szCs w:val="20"/>
        </w:rPr>
        <w:t xml:space="preserve">The following table sets out the current NED SMF roles under SMCR. Firms should monitor the FCA/PRA consultation outcomes (CP25/21/CP18/25) for any changes to which NED SMFs are retained in the final rules.</w:t>
      </w:r>
    </w:p>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3619"/>
        <w:gridCol w:w="3619"/>
      </w:tblGrid>
      <w:tr>
        <w:tc>
          <w:tcPr>
            <w:tcW w:type="dxa" w:w="1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SMF</w:t>
            </w:r>
          </w:p>
        </w:tc>
        <w:tc>
          <w:tcPr>
            <w:tcW w:type="dxa" w:w="1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Title</w:t>
            </w:r>
          </w:p>
        </w:tc>
        <w:tc>
          <w:tcPr>
            <w:tcW w:type="dxa" w:w="36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Typical SoR Scope</w:t>
            </w:r>
          </w:p>
        </w:tc>
        <w:tc>
          <w:tcPr>
            <w:tcW w:type="dxa" w:w="36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Key Accountability Areas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SMF9</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Chair</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Overall leadership of the board. Ensuring board effectiveness. Facilitating constructive board challenge. Oversight of the firm's culture.</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Board effectiveness; culture; governance; board composition and succession planning; management of conflicts of interest at board level.</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SMF12</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Chair of the Audit Committee</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Oversight of the integrity of financial reporting. Oversight of the external and internal audit processes. Review of internal controls and risk management systems in the financial reporting context.</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Financial reporting integrity; external auditor relationship and independence; internal audit quality and independence; internal controls over financial reporting.</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SMF10</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Chair of the Risk Committee</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Oversight of the firm's risk management framework. Advising the board on current and future risk appetite. Oversight of the implementation of risk strategy.</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Risk appetite framework; risk governance; oversight of CRO function; risk reporting to the board.</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SMF11</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Chair of the Remuneration Committee</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Oversight of the remuneration framework. Ensuring remuneration policy is consistent with effective risk management. Ensuring senior executive pay is aligned with long-term shareholder interests.</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Remuneration policy design; malus and clawback; executive pay structure; alignment with regulatory remuneration requirements (e.g., PRA Remuneration Part).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SMF13</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Chair of the Nominations Committee</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Oversight of the board composition and succession planning process. Advising the board on appointment and removal of directors and senior executives.</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Board and executive succession planning; board skills matrix; NED independence assessments; appointment process integrity.</w:t>
            </w:r>
          </w:p>
        </w:tc>
      </w:tr>
    </w:tbl>
    <w:p>
      <w:pPr>
        <w:spacing w:after="160"/>
      </w:pPr>
      <w:r>
        <w:rPr>
          <w:rFonts w:ascii="Arial" w:cs="Arial" w:eastAsia="Arial" w:hAnsi="Arial"/>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IMPORTANT: Some NED SMFs may be retained, combined, or removed in the final SMCR reform rules. Firms should NOT restructure their NED SMF arrangements based on the consultation proposals alone. Monitor FCA/PRA final rules carefully.</w:t>
            </w:r>
          </w:p>
        </w:tc>
      </w:tr>
    </w:tbl>
    <w:p>
      <w:pPr>
        <w:pStyle w:val="Heading1"/>
        <w:pageBreakBefore/>
      </w:pPr>
      <w:r>
        <w:rPr>
          <w:rFonts w:ascii="Arial" w:cs="Arial" w:eastAsia="Arial" w:hAnsi="Arial"/>
          <w:b/>
          <w:bCs/>
          <w:color w:val="1A2744"/>
          <w:sz w:val="32"/>
          <w:szCs w:val="32"/>
        </w:rPr>
        <w:t xml:space="preserve">5. Consultation Response — Should Your Firm Respond?</w:t>
      </w:r>
    </w:p>
    <w:p>
      <w:pPr>
        <w:spacing w:after="160"/>
      </w:pPr>
      <w:r>
        <w:rPr>
          <w:rFonts w:ascii="Arial" w:cs="Arial" w:eastAsia="Arial" w:hAnsi="Arial"/>
          <w:sz w:val="20"/>
          <w:szCs w:val="20"/>
        </w:rPr>
        <w:t xml:space="preserve">The FCA CP25/21 and PRA CP18/25 are live consultations. Firms and individuals with views on the proposals are encouraged to respond.</w:t>
      </w:r>
    </w:p>
    <w:p>
      <w:pPr>
        <w:pStyle w:val="Heading2"/>
      </w:pPr>
      <w:r>
        <w:rPr>
          <w:rFonts w:ascii="Arial" w:cs="Arial" w:eastAsia="Arial" w:hAnsi="Arial"/>
          <w:b/>
          <w:bCs/>
          <w:color w:val="1A2744"/>
          <w:sz w:val="26"/>
          <w:szCs w:val="26"/>
        </w:rPr>
        <w:t xml:space="preserve">Key Questions in CP25/21 / CP18/25 That Affect NEDs</w:t>
      </w:r>
    </w:p>
    <w:p>
      <w:pPr>
        <w:pStyle w:val="ListParagraph"/>
        <w:numPr>
          <w:ilvl w:val="0"/>
          <w:numId w:val="2"/>
        </w:numPr>
      </w:pPr>
      <w:r>
        <w:rPr>
          <w:rFonts w:ascii="Arial" w:cs="Arial" w:eastAsia="Arial" w:hAnsi="Arial"/>
          <w:sz w:val="20"/>
          <w:szCs w:val="20"/>
        </w:rPr>
        <w:t xml:space="preserve">Which NED SMFs should be retained in the simplified regime, and which (if any) should be removed or combined?</w:t>
      </w:r>
    </w:p>
    <w:p>
      <w:pPr>
        <w:pStyle w:val="ListParagraph"/>
        <w:numPr>
          <w:ilvl w:val="0"/>
          <w:numId w:val="2"/>
        </w:numPr>
      </w:pPr>
      <w:r>
        <w:rPr>
          <w:rFonts w:ascii="Arial" w:cs="Arial" w:eastAsia="Arial" w:hAnsi="Arial"/>
          <w:sz w:val="20"/>
          <w:szCs w:val="20"/>
        </w:rPr>
        <w:t xml:space="preserve">Should NED Statements of Responsibilities be simplified, and if so, how should accountability continue to be evidenced?</w:t>
      </w:r>
    </w:p>
    <w:p>
      <w:pPr>
        <w:pStyle w:val="ListParagraph"/>
        <w:numPr>
          <w:ilvl w:val="0"/>
          <w:numId w:val="2"/>
        </w:numPr>
      </w:pPr>
      <w:r>
        <w:rPr>
          <w:rFonts w:ascii="Arial" w:cs="Arial" w:eastAsia="Arial" w:hAnsi="Arial"/>
          <w:sz w:val="20"/>
          <w:szCs w:val="20"/>
        </w:rPr>
        <w:t xml:space="preserve">How should the wind-down of the Certification Regime be managed for individuals who transition out of scope?</w:t>
      </w:r>
    </w:p>
    <w:p>
      <w:pPr>
        <w:pStyle w:val="ListParagraph"/>
        <w:numPr>
          <w:ilvl w:val="0"/>
          <w:numId w:val="2"/>
        </w:numPr>
      </w:pPr>
      <w:r>
        <w:rPr>
          <w:rFonts w:ascii="Arial" w:cs="Arial" w:eastAsia="Arial" w:hAnsi="Arial"/>
          <w:sz w:val="20"/>
          <w:szCs w:val="20"/>
        </w:rPr>
        <w:t xml:space="preserve">Are the proposed simplifications to Conduct Rules sufficient, or do they risk creating ambiguity about expected standards?</w:t>
      </w:r>
    </w:p>
    <w:p>
      <w:pPr>
        <w:pStyle w:val="Heading2"/>
      </w:pPr>
      <w:r>
        <w:rPr>
          <w:rFonts w:ascii="Arial" w:cs="Arial" w:eastAsia="Arial" w:hAnsi="Arial"/>
          <w:b/>
          <w:bCs/>
          <w:color w:val="1A2744"/>
          <w:sz w:val="26"/>
          <w:szCs w:val="26"/>
        </w:rPr>
        <w:t xml:space="preserve">Who Should Respond</w:t>
      </w:r>
    </w:p>
    <w:p>
      <w:pPr>
        <w:spacing w:after="160"/>
      </w:pPr>
      <w:r>
        <w:rPr>
          <w:rFonts w:ascii="Arial" w:cs="Arial" w:eastAsia="Arial" w:hAnsi="Arial"/>
          <w:sz w:val="20"/>
          <w:szCs w:val="20"/>
        </w:rPr>
        <w:t xml:space="preserve">Firms should consider a response if they:</w:t>
      </w:r>
    </w:p>
    <w:p>
      <w:pPr>
        <w:pStyle w:val="ListParagraph"/>
        <w:numPr>
          <w:ilvl w:val="0"/>
          <w:numId w:val="2"/>
        </w:numPr>
      </w:pPr>
      <w:r>
        <w:rPr>
          <w:rFonts w:ascii="Arial" w:cs="Arial" w:eastAsia="Arial" w:hAnsi="Arial"/>
          <w:sz w:val="20"/>
          <w:szCs w:val="20"/>
        </w:rPr>
        <w:t xml:space="preserve">Have views on which NED SMFs should be retained and why</w:t>
      </w:r>
    </w:p>
    <w:p>
      <w:pPr>
        <w:pStyle w:val="ListParagraph"/>
        <w:numPr>
          <w:ilvl w:val="0"/>
          <w:numId w:val="2"/>
        </w:numPr>
      </w:pPr>
      <w:r>
        <w:rPr>
          <w:rFonts w:ascii="Arial" w:cs="Arial" w:eastAsia="Arial" w:hAnsi="Arial"/>
          <w:sz w:val="20"/>
          <w:szCs w:val="20"/>
        </w:rPr>
        <w:t xml:space="preserve">Have concerns that the simplification proposals may create gaps in accountability</w:t>
      </w:r>
    </w:p>
    <w:p>
      <w:pPr>
        <w:pStyle w:val="ListParagraph"/>
        <w:numPr>
          <w:ilvl w:val="0"/>
          <w:numId w:val="2"/>
        </w:numPr>
      </w:pPr>
      <w:r>
        <w:rPr>
          <w:rFonts w:ascii="Arial" w:cs="Arial" w:eastAsia="Arial" w:hAnsi="Arial"/>
          <w:sz w:val="20"/>
          <w:szCs w:val="20"/>
        </w:rPr>
        <w:t xml:space="preserve">Wish to shape the final framework on SoR simplification or the Certification Regime wind-down</w:t>
      </w:r>
    </w:p>
    <w:p>
      <w:pPr>
        <w:pStyle w:val="ListParagraph"/>
        <w:numPr>
          <w:ilvl w:val="0"/>
          <w:numId w:val="2"/>
        </w:numPr>
      </w:pPr>
      <w:r>
        <w:rPr>
          <w:rFonts w:ascii="Arial" w:cs="Arial" w:eastAsia="Arial" w:hAnsi="Arial"/>
          <w:sz w:val="20"/>
          <w:szCs w:val="20"/>
        </w:rPr>
        <w:t xml:space="preserve">Have technical points on the regulatory reference amendments</w:t>
      </w:r>
    </w:p>
    <w:p>
      <w:pPr>
        <w:pStyle w:val="Heading2"/>
      </w:pPr>
      <w:r>
        <w:rPr>
          <w:rFonts w:ascii="Arial" w:cs="Arial" w:eastAsia="Arial" w:hAnsi="Arial"/>
          <w:b/>
          <w:bCs/>
          <w:color w:val="1A2744"/>
          <w:sz w:val="26"/>
          <w:szCs w:val="26"/>
        </w:rPr>
        <w:t xml:space="preserve">Consultation Deadline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Check the FCA website (fca.org.uk) and PRA website (bankofengland.co.uk/prudential-regulation) for the current consultation deadline. Deadlines were published with CP25/21 and CP18/25 in July 2025. Do not rely on third-party summaries for deadline dates — verify directly.</w:t>
            </w:r>
          </w:p>
        </w:tc>
      </w:tr>
    </w:tbl>
    <w:p>
      <w:pPr>
        <w:pStyle w:val="Heading1"/>
        <w:pageBreakBefore/>
      </w:pPr>
      <w:r>
        <w:rPr>
          <w:rFonts w:ascii="Arial" w:cs="Arial" w:eastAsia="Arial" w:hAnsi="Arial"/>
          <w:b/>
          <w:bCs/>
          <w:color w:val="1A2744"/>
          <w:sz w:val="32"/>
          <w:szCs w:val="32"/>
        </w:rPr>
        <w:t xml:space="preserve">6. Transitional Planning Checklist</w:t>
      </w:r>
    </w:p>
    <w:p>
      <w:pPr>
        <w:spacing w:after="160"/>
      </w:pPr>
      <w:r>
        <w:rPr>
          <w:rFonts w:ascii="Arial" w:cs="Arial" w:eastAsia="Arial" w:hAnsi="Arial"/>
          <w:b/>
          <w:bCs/>
          <w:sz w:val="20"/>
          <w:szCs w:val="20"/>
        </w:rPr>
        <w:t xml:space="preserve">Use this checklist to assess your firm's readiness for the SMCR reform transition.</w:t>
      </w:r>
    </w:p>
    <w:p>
      <w:pPr>
        <w:spacing w:after="160"/>
      </w:pPr>
      <w:r>
        <w:rPr>
          <w:rFonts w:ascii="Arial" w:cs="Arial" w:eastAsia="Arial" w:hAnsi="Arial"/>
          <w:sz w:val="20"/>
          <w:szCs w:val="20"/>
        </w:rPr>
        <w:t xml:space="preserve"/>
      </w:r>
    </w:p>
    <w:p>
      <w:pPr>
        <w:spacing w:after="100"/>
      </w:pPr>
      <w:r>
        <w:rPr>
          <w:rFonts w:ascii="Arial" w:cs="Arial" w:eastAsia="Arial" w:hAnsi="Arial"/>
          <w:sz w:val="20"/>
          <w:szCs w:val="20"/>
        </w:rPr>
        <w:t xml:space="preserve">☐  Has the board been briefed on the CP25/21 / CP18/25 proposals and their implications for current SMF holders?</w:t>
      </w:r>
    </w:p>
    <w:p>
      <w:pPr>
        <w:spacing w:after="100"/>
      </w:pPr>
      <w:r>
        <w:rPr>
          <w:rFonts w:ascii="Arial" w:cs="Arial" w:eastAsia="Arial" w:hAnsi="Arial"/>
          <w:sz w:val="20"/>
          <w:szCs w:val="20"/>
        </w:rPr>
        <w:t xml:space="preserve">☐  Has legal or compliance assessed the impact of the proposals on each current SMF holder in the firm?</w:t>
      </w:r>
    </w:p>
    <w:p>
      <w:pPr>
        <w:spacing w:after="100"/>
      </w:pPr>
      <w:r>
        <w:rPr>
          <w:rFonts w:ascii="Arial" w:cs="Arial" w:eastAsia="Arial" w:hAnsi="Arial"/>
          <w:sz w:val="20"/>
          <w:szCs w:val="20"/>
        </w:rPr>
        <w:t xml:space="preserve">☐  Is a transition plan in place for any NED SMFs that may be removed or modified in the final rules?</w:t>
      </w:r>
    </w:p>
    <w:p>
      <w:pPr>
        <w:spacing w:after="100"/>
      </w:pPr>
      <w:r>
        <w:rPr>
          <w:rFonts w:ascii="Arial" w:cs="Arial" w:eastAsia="Arial" w:hAnsi="Arial"/>
          <w:sz w:val="20"/>
          <w:szCs w:val="20"/>
        </w:rPr>
        <w:t xml:space="preserve">☐  Are current Statements of Responsibilities being reviewed for potential simplification opportunities under the proposed new framework?</w:t>
      </w:r>
    </w:p>
    <w:p>
      <w:pPr>
        <w:spacing w:after="100"/>
      </w:pPr>
      <w:r>
        <w:rPr>
          <w:rFonts w:ascii="Arial" w:cs="Arial" w:eastAsia="Arial" w:hAnsi="Arial"/>
          <w:sz w:val="20"/>
          <w:szCs w:val="20"/>
        </w:rPr>
        <w:t xml:space="preserve">☐  Is the firm monitoring progress of the HMT Phase 2 Bill and the FCA/PRA consultation outcomes?</w:t>
      </w:r>
    </w:p>
    <w:p>
      <w:pPr>
        <w:spacing w:after="100"/>
      </w:pPr>
      <w:r>
        <w:rPr>
          <w:rFonts w:ascii="Arial" w:cs="Arial" w:eastAsia="Arial" w:hAnsi="Arial"/>
          <w:sz w:val="20"/>
          <w:szCs w:val="20"/>
        </w:rPr>
        <w:t xml:space="preserve">☐  Have NEDs with SMF roles been reminded that the duty of responsibility under s.66B FSMA remains fully in force during the transition?</w:t>
      </w:r>
    </w:p>
    <w:p>
      <w:pPr>
        <w:spacing w:after="100"/>
      </w:pPr>
      <w:r>
        <w:rPr>
          <w:rFonts w:ascii="Arial" w:cs="Arial" w:eastAsia="Arial" w:hAnsi="Arial"/>
          <w:sz w:val="20"/>
          <w:szCs w:val="20"/>
        </w:rPr>
        <w:t xml:space="preserve">☐  Has the firm assessed whether it wishes to maintain an internal Certification Regime equivalent following statutory removal of the obligation?</w:t>
      </w:r>
    </w:p>
    <w:p>
      <w:pPr>
        <w:spacing w:after="100"/>
      </w:pPr>
      <w:r>
        <w:rPr>
          <w:rFonts w:ascii="Arial" w:cs="Arial" w:eastAsia="Arial" w:hAnsi="Arial"/>
          <w:sz w:val="20"/>
          <w:szCs w:val="20"/>
        </w:rPr>
        <w:t xml:space="preserve">☐  Is there a plan for communicating the final reform outcomes to affected individuals once rules are published?</w:t>
      </w:r>
    </w:p>
    <w:p>
      <w:pPr>
        <w:spacing w:after="100"/>
      </w:pPr>
      <w:r>
        <w:rPr>
          <w:rFonts w:ascii="Arial" w:cs="Arial" w:eastAsia="Arial" w:hAnsi="Arial"/>
          <w:sz w:val="20"/>
          <w:szCs w:val="20"/>
        </w:rPr>
        <w:t xml:space="preserve">☐  Has the firm reviewed its fit and proper assessment process in light of the proposed simplifications?</w:t>
      </w:r>
    </w:p>
    <w:p>
      <w:pPr>
        <w:spacing w:after="100"/>
      </w:pPr>
      <w:r>
        <w:rPr>
          <w:rFonts w:ascii="Arial" w:cs="Arial" w:eastAsia="Arial" w:hAnsi="Arial"/>
          <w:sz w:val="20"/>
          <w:szCs w:val="20"/>
        </w:rPr>
        <w:t xml:space="preserve">☐  Is the firm's legal or external regulatory counsel engaged to advise on the transition once final rules are published?</w:t>
      </w:r>
    </w:p>
    <w:p>
      <w:pPr>
        <w:pStyle w:val="Heading1"/>
        <w:pageBreakBefore/>
      </w:pPr>
      <w:r>
        <w:rPr>
          <w:rFonts w:ascii="Arial" w:cs="Arial" w:eastAsia="Arial" w:hAnsi="Arial"/>
          <w:b/>
          <w:bCs/>
          <w:color w:val="1A2744"/>
          <w:sz w:val="32"/>
          <w:szCs w:val="32"/>
        </w:rPr>
        <w:t xml:space="preserve">7. Board Questions</w:t>
      </w:r>
    </w:p>
    <w:p>
      <w:pPr>
        <w:spacing w:after="160"/>
      </w:pPr>
      <w:r>
        <w:rPr>
          <w:rFonts w:ascii="Arial" w:cs="Arial" w:eastAsia="Arial" w:hAnsi="Arial"/>
          <w:b/>
          <w:bCs/>
          <w:sz w:val="20"/>
          <w:szCs w:val="20"/>
        </w:rPr>
        <w:t xml:space="preserve">The following questions should guide the board's assessment of SMCR reform readiness.</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Has the board been briefed on CP25/21 and CP18/25, and does the board understand which proposed changes affect current NED SMF holders?</w:t>
      </w:r>
    </w:p>
    <w:p>
      <w:pPr>
        <w:pStyle w:val="ListParagraph"/>
        <w:numPr>
          <w:ilvl w:val="0"/>
          <w:numId w:val="2"/>
        </w:numPr>
      </w:pPr>
      <w:r>
        <w:rPr>
          <w:rFonts w:ascii="Arial" w:cs="Arial" w:eastAsia="Arial" w:hAnsi="Arial"/>
          <w:sz w:val="20"/>
          <w:szCs w:val="20"/>
        </w:rPr>
        <w:t xml:space="preserve">2. Is the board clear that the duty of responsibility under s.66B FSMA 2000 is not changing — and that personal regulatory liability for areas of oversight remains fully in force?</w:t>
      </w:r>
    </w:p>
    <w:p>
      <w:pPr>
        <w:pStyle w:val="ListParagraph"/>
        <w:numPr>
          <w:ilvl w:val="0"/>
          <w:numId w:val="2"/>
        </w:numPr>
      </w:pPr>
      <w:r>
        <w:rPr>
          <w:rFonts w:ascii="Arial" w:cs="Arial" w:eastAsia="Arial" w:hAnsi="Arial"/>
          <w:sz w:val="20"/>
          <w:szCs w:val="20"/>
        </w:rPr>
        <w:t xml:space="preserve">3. Which current NED SMFs does the firm hold? Have we assessed the risk that any of those SMFs may be removed or modified in the final rules?</w:t>
      </w:r>
    </w:p>
    <w:p>
      <w:pPr>
        <w:pStyle w:val="ListParagraph"/>
        <w:numPr>
          <w:ilvl w:val="0"/>
          <w:numId w:val="2"/>
        </w:numPr>
      </w:pPr>
      <w:r>
        <w:rPr>
          <w:rFonts w:ascii="Arial" w:cs="Arial" w:eastAsia="Arial" w:hAnsi="Arial"/>
          <w:sz w:val="20"/>
          <w:szCs w:val="20"/>
        </w:rPr>
        <w:t xml:space="preserve">4. Does the firm intend to respond to CP25/21 or CP18/25? If so, have we identified the key points we want to make?</w:t>
      </w:r>
    </w:p>
    <w:p>
      <w:pPr>
        <w:pStyle w:val="ListParagraph"/>
        <w:numPr>
          <w:ilvl w:val="0"/>
          <w:numId w:val="2"/>
        </w:numPr>
      </w:pPr>
      <w:r>
        <w:rPr>
          <w:rFonts w:ascii="Arial" w:cs="Arial" w:eastAsia="Arial" w:hAnsi="Arial"/>
          <w:sz w:val="20"/>
          <w:szCs w:val="20"/>
        </w:rPr>
        <w:t xml:space="preserve">5. Are current Statements of Responsibilities up to date and accurately reflecting each SMF holder's actual area of oversight?</w:t>
      </w:r>
    </w:p>
    <w:p>
      <w:pPr>
        <w:pStyle w:val="ListParagraph"/>
        <w:numPr>
          <w:ilvl w:val="0"/>
          <w:numId w:val="2"/>
        </w:numPr>
      </w:pPr>
      <w:r>
        <w:rPr>
          <w:rFonts w:ascii="Arial" w:cs="Arial" w:eastAsia="Arial" w:hAnsi="Arial"/>
          <w:sz w:val="20"/>
          <w:szCs w:val="20"/>
        </w:rPr>
        <w:t xml:space="preserve">6. If the Certification Regime is removed from statute, does the firm intend to maintain an internal certification equivalent? If so, what will that look like?</w:t>
      </w:r>
    </w:p>
    <w:p>
      <w:pPr>
        <w:pStyle w:val="ListParagraph"/>
        <w:numPr>
          <w:ilvl w:val="0"/>
          <w:numId w:val="2"/>
        </w:numPr>
      </w:pPr>
      <w:r>
        <w:rPr>
          <w:rFonts w:ascii="Arial" w:cs="Arial" w:eastAsia="Arial" w:hAnsi="Arial"/>
          <w:sz w:val="20"/>
          <w:szCs w:val="20"/>
        </w:rPr>
        <w:t xml:space="preserve">7. Is the firm monitoring the HMT Phase 2 Bill progress, and do we have a clear trigger for revisiting our SMCR governance once the Bill is enacted?</w:t>
      </w:r>
    </w:p>
    <w:p>
      <w:pPr>
        <w:pStyle w:val="ListParagraph"/>
        <w:numPr>
          <w:ilvl w:val="0"/>
          <w:numId w:val="2"/>
        </w:numPr>
      </w:pPr>
      <w:r>
        <w:rPr>
          <w:rFonts w:ascii="Arial" w:cs="Arial" w:eastAsia="Arial" w:hAnsi="Arial"/>
          <w:sz w:val="20"/>
          <w:szCs w:val="20"/>
        </w:rPr>
        <w:t xml:space="preserve">8. Are all current NED SMF holders aware of their current accountability scope and the ongoing personal regulatory risk?</w:t>
      </w:r>
    </w:p>
    <w:p>
      <w:pPr>
        <w:pStyle w:val="ListParagraph"/>
        <w:numPr>
          <w:ilvl w:val="0"/>
          <w:numId w:val="2"/>
        </w:numPr>
      </w:pPr>
      <w:r>
        <w:rPr>
          <w:rFonts w:ascii="Arial" w:cs="Arial" w:eastAsia="Arial" w:hAnsi="Arial"/>
          <w:sz w:val="20"/>
          <w:szCs w:val="20"/>
        </w:rPr>
        <w:t xml:space="preserve">9. Has the firm reviewed its regulatory reference process to ensure it will continue to comply with any amended obligations?</w:t>
      </w:r>
    </w:p>
    <w:p>
      <w:pPr>
        <w:pStyle w:val="ListParagraph"/>
        <w:numPr>
          <w:ilvl w:val="0"/>
          <w:numId w:val="2"/>
        </w:numPr>
      </w:pPr>
      <w:r>
        <w:rPr>
          <w:rFonts w:ascii="Arial" w:cs="Arial" w:eastAsia="Arial" w:hAnsi="Arial"/>
          <w:sz w:val="20"/>
          <w:szCs w:val="20"/>
        </w:rPr>
        <w:t xml:space="preserve">10. Does our legal or compliance function have sufficient capacity to manage the SMCR transition alongside other regulatory priorities?</w:t>
      </w:r>
    </w:p>
    <w:p>
      <w:pPr>
        <w:pStyle w:val="Heading1"/>
        <w:pageBreakBefore/>
      </w:pPr>
      <w:r>
        <w:rPr>
          <w:rFonts w:ascii="Arial" w:cs="Arial" w:eastAsia="Arial" w:hAnsi="Arial"/>
          <w:b/>
          <w:bCs/>
          <w:color w:val="1A2744"/>
          <w:sz w:val="32"/>
          <w:szCs w:val="32"/>
        </w:rPr>
        <w:t xml:space="preserve">8. Key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6838"/>
      </w:tblGrid>
      <w:tr>
        <w:tc>
          <w:tcPr>
            <w:tcW w:type="dxa" w:w="2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8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 CP25/21</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FCA Consultation Paper on SMCR reform — published July 2025. Sets out proposed changes to the Certification Regime, Conduct Rules, SMF roles, and Statements of Responsibilities.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PRA CP18/25</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PRA Consultation Paper on SMCR reform — published jointly with FCA CP25/21 in July 2025. PRA-specific proposals for PRA-regulated firms.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s.66B Financial Services and Markets Act 2000</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statutory duty of responsibility for Senior Managers. The foundation of personal accountability under SMCR. Not changing under the reform proposals.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FCA FIT Sourcebook</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FCA's Fit and Proper test for approved persons sourcebook — sets out the criteria for assessing whether SMF holders are fit and proper. Continuing to apply.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HMT Phase 2 SMCR Reform Announcement</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HM Treasury announcement confirming Phase 2 legislative changes to SMCR, including removal of the Certification Regime from primary legislation. Monitor HMT website for draft Bill publication.</w:t>
            </w:r>
          </w:p>
        </w:tc>
      </w:tr>
    </w:tbl>
    <w:p>
      <w:pPr>
        <w:pStyle w:val="Heading1"/>
        <w:pageBreakBefore/>
      </w:pPr>
      <w:r>
        <w:rPr>
          <w:rFonts w:ascii="Arial" w:cs="Arial" w:eastAsia="Arial" w:hAnsi="Arial"/>
          <w:b/>
          <w:bCs/>
          <w:color w:val="1A2744"/>
          <w:sz w:val="32"/>
          <w:szCs w:val="32"/>
        </w:rPr>
        <w:t xml:space="preserve">9.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SMCR Reform 2026 — Board and NED Accountability Pack</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SMCR Reform 2026 — Board and NED Accountability Pack</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2026-07-02T22:29:14.486Z</dcterms:created>
  <dcterms:modified xsi:type="dcterms:W3CDTF">2026-07-02T22:29:14.487Z</dcterms:modified>
</cp:coreProperties>
</file>

<file path=docProps/custom.xml><?xml version="1.0" encoding="utf-8"?>
<Properties xmlns="http://schemas.openxmlformats.org/officeDocument/2006/custom-properties" xmlns:vt="http://schemas.openxmlformats.org/officeDocument/2006/docPropsVTypes"/>
</file>