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2880"/>
      </w:pPr>
      <w:r>
        <w:rPr>
          <w:rFonts w:ascii="Arial" w:cs="Arial" w:eastAsia="Arial" w:hAnsi="Arial"/>
          <w:b/>
          <w:bCs/>
          <w:color w:val="1A2744"/>
          <w:sz w:val="72"/>
          <w:szCs w:val="72"/>
        </w:rPr>
        <w:t xml:space="preserve">INFORMD</w:t>
      </w:r>
    </w:p>
    <w:p>
      <w:pPr>
        <w:spacing w:after="240"/>
      </w:pPr>
      <w:r>
        <w:rPr>
          <w:rFonts w:ascii="Arial" w:cs="Arial" w:eastAsia="Arial" w:hAnsi="Arial"/>
          <w:i/>
          <w:iCs/>
          <w:color w:val="444444"/>
          <w:sz w:val="32"/>
          <w:szCs w:val="32"/>
        </w:rPr>
        <w:t xml:space="preserve">Executive Intelligence Briefings</w:t>
      </w:r>
    </w:p>
    <w:p>
      <w:pPr>
        <w:spacing w:after="960"/>
      </w:pPr>
      <w:r>
        <w:rPr>
          <w:rFonts w:ascii="Arial" w:cs="Arial" w:eastAsia="Arial" w:hAnsi="Arial"/>
          <w:sz w:val="20"/>
          <w:szCs w:val="20"/>
        </w:rPr>
        <w:t xml:space="preserve"/>
      </w:r>
    </w:p>
    <w:p>
      <w:pPr>
        <w:pBdr>
          <w:top w:val="single" w:color="1A2744" w:sz="12"/>
        </w:pBdr>
        <w:spacing w:after="240" w:before="240"/>
      </w:pPr>
      <w:r>
        <w:rPr>
          <w:rFonts w:ascii="Arial" w:cs="Arial" w:eastAsia="Arial" w:hAnsi="Arial"/>
          <w:sz w:val="20"/>
          <w:szCs w:val="20"/>
        </w:rPr>
        <w:t xml:space="preserve"/>
      </w:r>
    </w:p>
    <w:p>
      <w:pPr>
        <w:spacing w:after="480"/>
      </w:pPr>
      <w:r>
        <w:rPr>
          <w:rFonts w:ascii="Arial" w:cs="Arial" w:eastAsia="Arial" w:hAnsi="Arial"/>
          <w:b/>
          <w:bCs/>
          <w:color w:val="1A2744"/>
          <w:sz w:val="52"/>
          <w:szCs w:val="52"/>
        </w:rPr>
        <w:t xml:space="preserve">Remuneration Committee Best Practice 2026</w:t>
      </w:r>
    </w:p>
    <w:p>
      <w:pPr>
        <w:spacing w:after="240"/>
      </w:pPr>
      <w:r>
        <w:rPr>
          <w:rFonts w:ascii="Arial" w:cs="Arial" w:eastAsia="Arial" w:hAnsi="Arial"/>
          <w:color w:val="444444"/>
          <w:sz w:val="24"/>
          <w:szCs w:val="24"/>
        </w:rPr>
        <w:t xml:space="preserve">For: Remuneration Committee Chairs, NEDs, Company Secretaries at UK listed companies</w:t>
      </w:r>
    </w:p>
    <w:p>
      <w:pPr>
        <w:spacing w:after="240"/>
      </w:pPr>
      <w:r>
        <w:rPr>
          <w:rFonts w:ascii="Arial" w:cs="Arial" w:eastAsia="Arial" w:hAnsi="Arial"/>
          <w:color w:val="444444"/>
          <w:sz w:val="24"/>
          <w:szCs w:val="24"/>
        </w:rPr>
        <w:t xml:space="preserve">July 2026</w:t>
      </w:r>
    </w:p>
    <w:p>
      <w:pPr>
        <w:spacing w:after="120" w:before="2880"/>
      </w:pPr>
      <w:r>
        <w:rPr>
          <w:rFonts w:ascii="Arial" w:cs="Arial" w:eastAsia="Arial" w:hAnsi="Arial"/>
          <w:color w:val="888888"/>
          <w:sz w:val="20"/>
          <w:szCs w:val="20"/>
        </w:rPr>
        <w:t xml:space="preserve">informd.co.uk</w:t>
      </w:r>
    </w:p>
    <w:p>
      <w:r>
        <w:rPr>
          <w:rFonts w:ascii="Arial" w:cs="Arial" w:eastAsia="Arial" w:hAnsi="Arial"/>
          <w:i/>
          <w:iCs/>
          <w:color w:val="888888"/>
          <w:sz w:val="16"/>
          <w:szCs w:val="16"/>
        </w:rPr>
        <w:t xml:space="preserve">This document is provided for informational purposes only. It does not constitute legal advice. Always verify current requirements with your legal and compliance advisers.</w:t>
      </w:r>
    </w:p>
    <w:p>
      <w:pPr>
        <w:sectPr>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Contents</w:t>
      </w:r>
    </w:p>
    <w:p>
      <w:pPr>
        <w:tabs>
          <w:tab w:val="right" w:pos="9638"/>
        </w:tabs>
        <w:spacing w:after="160"/>
      </w:pPr>
      <w:r>
        <w:rPr>
          <w:rFonts w:ascii="Arial" w:cs="Arial" w:eastAsia="Arial" w:hAnsi="Arial"/>
          <w:sz w:val="20"/>
          <w:szCs w:val="20"/>
        </w:rPr>
        <w:t xml:space="preserve">1.  Executive Summary</w:t>
      </w:r>
      <w:r>
        <w:rPr>
          <w:rFonts w:ascii="Arial" w:cs="Arial" w:eastAsia="Arial" w:hAnsi="Arial"/>
          <w:sz w:val="20"/>
          <w:szCs w:val="20"/>
        </w:rPr>
        <w:t xml:space="preserve">	3</w:t>
      </w:r>
    </w:p>
    <w:p>
      <w:pPr>
        <w:tabs>
          <w:tab w:val="right" w:pos="9638"/>
        </w:tabs>
        <w:spacing w:after="160"/>
      </w:pPr>
      <w:r>
        <w:rPr>
          <w:rFonts w:ascii="Arial" w:cs="Arial" w:eastAsia="Arial" w:hAnsi="Arial"/>
          <w:sz w:val="20"/>
          <w:szCs w:val="20"/>
        </w:rPr>
        <w:t xml:space="preserve">2.  Code 2024 Changes to Remuneration</w:t>
      </w:r>
      <w:r>
        <w:rPr>
          <w:rFonts w:ascii="Arial" w:cs="Arial" w:eastAsia="Arial" w:hAnsi="Arial"/>
          <w:sz w:val="20"/>
          <w:szCs w:val="20"/>
        </w:rPr>
        <w:t xml:space="preserve">	4</w:t>
      </w:r>
    </w:p>
    <w:p>
      <w:pPr>
        <w:tabs>
          <w:tab w:val="right" w:pos="9638"/>
        </w:tabs>
        <w:spacing w:after="160"/>
      </w:pPr>
      <w:r>
        <w:rPr>
          <w:rFonts w:ascii="Arial" w:cs="Arial" w:eastAsia="Arial" w:hAnsi="Arial"/>
          <w:sz w:val="20"/>
          <w:szCs w:val="20"/>
        </w:rPr>
        <w:t xml:space="preserve">3.  Investor Body Expectations 2026</w:t>
      </w:r>
      <w:r>
        <w:rPr>
          <w:rFonts w:ascii="Arial" w:cs="Arial" w:eastAsia="Arial" w:hAnsi="Arial"/>
          <w:sz w:val="20"/>
          <w:szCs w:val="20"/>
        </w:rPr>
        <w:t xml:space="preserve">	5</w:t>
      </w:r>
    </w:p>
    <w:p>
      <w:pPr>
        <w:tabs>
          <w:tab w:val="right" w:pos="9638"/>
        </w:tabs>
        <w:spacing w:after="160"/>
      </w:pPr>
      <w:r>
        <w:rPr>
          <w:rFonts w:ascii="Arial" w:cs="Arial" w:eastAsia="Arial" w:hAnsi="Arial"/>
          <w:sz w:val="20"/>
          <w:szCs w:val="20"/>
        </w:rPr>
        <w:t xml:space="preserve">4.  Rem Policy Best Practice Framework</w:t>
      </w:r>
      <w:r>
        <w:rPr>
          <w:rFonts w:ascii="Arial" w:cs="Arial" w:eastAsia="Arial" w:hAnsi="Arial"/>
          <w:sz w:val="20"/>
          <w:szCs w:val="20"/>
        </w:rPr>
        <w:t xml:space="preserve">	7</w:t>
      </w:r>
    </w:p>
    <w:p>
      <w:pPr>
        <w:tabs>
          <w:tab w:val="right" w:pos="9638"/>
        </w:tabs>
        <w:spacing w:after="160"/>
      </w:pPr>
      <w:r>
        <w:rPr>
          <w:rFonts w:ascii="Arial" w:cs="Arial" w:eastAsia="Arial" w:hAnsi="Arial"/>
          <w:sz w:val="20"/>
          <w:szCs w:val="20"/>
        </w:rPr>
        <w:t xml:space="preserve">5.  Malus and Clawback — Deep Dive</w:t>
      </w:r>
      <w:r>
        <w:rPr>
          <w:rFonts w:ascii="Arial" w:cs="Arial" w:eastAsia="Arial" w:hAnsi="Arial"/>
          <w:sz w:val="20"/>
          <w:szCs w:val="20"/>
        </w:rPr>
        <w:t xml:space="preserve">	9</w:t>
      </w:r>
    </w:p>
    <w:p>
      <w:pPr>
        <w:tabs>
          <w:tab w:val="right" w:pos="9638"/>
        </w:tabs>
        <w:spacing w:after="160"/>
      </w:pPr>
      <w:r>
        <w:rPr>
          <w:rFonts w:ascii="Arial" w:cs="Arial" w:eastAsia="Arial" w:hAnsi="Arial"/>
          <w:sz w:val="20"/>
          <w:szCs w:val="20"/>
        </w:rPr>
        <w:t xml:space="preserve">6.  ESG Metrics in Remuneration</w:t>
      </w:r>
      <w:r>
        <w:rPr>
          <w:rFonts w:ascii="Arial" w:cs="Arial" w:eastAsia="Arial" w:hAnsi="Arial"/>
          <w:sz w:val="20"/>
          <w:szCs w:val="20"/>
        </w:rPr>
        <w:t xml:space="preserve">	11</w:t>
      </w:r>
    </w:p>
    <w:p>
      <w:pPr>
        <w:tabs>
          <w:tab w:val="right" w:pos="9638"/>
        </w:tabs>
        <w:spacing w:after="160"/>
      </w:pPr>
      <w:r>
        <w:rPr>
          <w:rFonts w:ascii="Arial" w:cs="Arial" w:eastAsia="Arial" w:hAnsi="Arial"/>
          <w:sz w:val="20"/>
          <w:szCs w:val="20"/>
        </w:rPr>
        <w:t xml:space="preserve">7.  Rem Committee Annual Cycle</w:t>
      </w:r>
      <w:r>
        <w:rPr>
          <w:rFonts w:ascii="Arial" w:cs="Arial" w:eastAsia="Arial" w:hAnsi="Arial"/>
          <w:sz w:val="20"/>
          <w:szCs w:val="20"/>
        </w:rPr>
        <w:t xml:space="preserve">	12</w:t>
      </w:r>
    </w:p>
    <w:p>
      <w:pPr>
        <w:tabs>
          <w:tab w:val="right" w:pos="9638"/>
        </w:tabs>
        <w:spacing w:after="160"/>
      </w:pPr>
      <w:r>
        <w:rPr>
          <w:rFonts w:ascii="Arial" w:cs="Arial" w:eastAsia="Arial" w:hAnsi="Arial"/>
          <w:sz w:val="20"/>
          <w:szCs w:val="20"/>
        </w:rPr>
        <w:t xml:space="preserve">8.  Remuneration Report Checklist</w:t>
      </w:r>
      <w:r>
        <w:rPr>
          <w:rFonts w:ascii="Arial" w:cs="Arial" w:eastAsia="Arial" w:hAnsi="Arial"/>
          <w:sz w:val="20"/>
          <w:szCs w:val="20"/>
        </w:rPr>
        <w:t xml:space="preserve">	13</w:t>
      </w:r>
    </w:p>
    <w:p>
      <w:pPr>
        <w:tabs>
          <w:tab w:val="right" w:pos="9638"/>
        </w:tabs>
        <w:spacing w:after="160"/>
      </w:pPr>
      <w:r>
        <w:rPr>
          <w:rFonts w:ascii="Arial" w:cs="Arial" w:eastAsia="Arial" w:hAnsi="Arial"/>
          <w:sz w:val="20"/>
          <w:szCs w:val="20"/>
        </w:rPr>
        <w:t xml:space="preserve">9.  Board Questions for Rem Committee</w:t>
      </w:r>
      <w:r>
        <w:rPr>
          <w:rFonts w:ascii="Arial" w:cs="Arial" w:eastAsia="Arial" w:hAnsi="Arial"/>
          <w:sz w:val="20"/>
          <w:szCs w:val="20"/>
        </w:rPr>
        <w:t xml:space="preserve">	14</w:t>
      </w:r>
    </w:p>
    <w:p>
      <w:pPr>
        <w:tabs>
          <w:tab w:val="right" w:pos="9638"/>
        </w:tabs>
        <w:spacing w:after="160"/>
      </w:pPr>
      <w:r>
        <w:rPr>
          <w:rFonts w:ascii="Arial" w:cs="Arial" w:eastAsia="Arial" w:hAnsi="Arial"/>
          <w:sz w:val="20"/>
          <w:szCs w:val="20"/>
        </w:rPr>
        <w:t xml:space="preserve">10.  Key References</w:t>
      </w:r>
      <w:r>
        <w:rPr>
          <w:rFonts w:ascii="Arial" w:cs="Arial" w:eastAsia="Arial" w:hAnsi="Arial"/>
          <w:sz w:val="20"/>
          <w:szCs w:val="20"/>
        </w:rPr>
        <w:t xml:space="preserve">	15</w:t>
      </w:r>
    </w:p>
    <w:p>
      <w:pPr>
        <w:tabs>
          <w:tab w:val="right" w:pos="9638"/>
        </w:tabs>
        <w:spacing w:after="160"/>
      </w:pPr>
      <w:r>
        <w:rPr>
          <w:rFonts w:ascii="Arial" w:cs="Arial" w:eastAsia="Arial" w:hAnsi="Arial"/>
          <w:sz w:val="20"/>
          <w:szCs w:val="20"/>
        </w:rPr>
        <w:t xml:space="preserve">11.  About INFORMD</w:t>
      </w:r>
      <w:r>
        <w:rPr>
          <w:rFonts w:ascii="Arial" w:cs="Arial" w:eastAsia="Arial" w:hAnsi="Arial"/>
          <w:sz w:val="20"/>
          <w:szCs w:val="20"/>
        </w:rPr>
        <w:t xml:space="preserve">	16</w:t>
      </w:r>
    </w:p>
    <w:p>
      <w:pPr>
        <w:sectPr>
          <w:headerReference w:type="default" r:id="rId7"/>
          <w:footerReference w:type="default" r:id="rId8"/>
          <w:pgSz w:w="11906" w:h="16838" w:orient="portrait"/>
          <w:pgMar w:top="1134" w:right="1134" w:bottom="1134" w:left="1134" w:header="708" w:footer="708" w:gutter="0"/>
          <w:pgNumType/>
          <w:docGrid w:linePitch="360"/>
        </w:sectPr>
      </w:pPr>
    </w:p>
    <w:p>
      <w:pPr>
        <w:pStyle w:val="Heading1"/>
        <w:pageBreakBefore/>
      </w:pPr>
      <w:r>
        <w:rPr>
          <w:rFonts w:ascii="Arial" w:cs="Arial" w:eastAsia="Arial" w:hAnsi="Arial"/>
          <w:b/>
          <w:bCs/>
          <w:color w:val="1A2744"/>
          <w:sz w:val="32"/>
          <w:szCs w:val="32"/>
        </w:rPr>
        <w:t xml:space="preserve">1. Executive Summary</w:t>
      </w:r>
    </w:p>
    <w:p>
      <w:pPr>
        <w:spacing w:after="160"/>
      </w:pPr>
      <w:r>
        <w:rPr>
          <w:rFonts w:ascii="Arial" w:cs="Arial" w:eastAsia="Arial" w:hAnsi="Arial"/>
          <w:sz w:val="20"/>
          <w:szCs w:val="20"/>
        </w:rPr>
        <w:t xml:space="preserve">The UK Corporate Governance Code 2024 introduced new disclosure requirements for malus and clawback arrangements. Combined with evolving investor body expectations from ISS, Glass Lewis, the Investment Association/IVIS, and the PLSA, the bar for remuneration committee governance has risen significantly for the 2026 AGM season.</w:t>
      </w:r>
    </w:p>
    <w:p>
      <w:pPr>
        <w:spacing w:after="160"/>
      </w:pPr>
      <w:r>
        <w:rPr>
          <w:rFonts w:ascii="Arial" w:cs="Arial" w:eastAsia="Arial" w:hAnsi="Arial"/>
          <w:sz w:val="20"/>
          <w:szCs w:val="20"/>
        </w:rPr>
        <w:t xml:space="preserve">This pack provides the 2026 best practice framework for UK Remuneration Committees, covering the Code 2024 changes, investor expectations, policy design, malus/clawback deep dive, ESG metrics, and the annual Rem Committee cycle.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2026 AGM SEASON: Companies with December year-ends should already have updated their remuneration policies to reflect Code 2024 Section 5 malus/clawback disclosure requirements. If this has not been done, a resolution to amend the policy should be tabled at the 2027 AGM at the latest.</w:t>
            </w:r>
          </w:p>
        </w:tc>
      </w:tr>
    </w:tbl>
    <w:p>
      <w:pPr>
        <w:pStyle w:val="Heading1"/>
        <w:pageBreakBefore/>
      </w:pPr>
      <w:r>
        <w:rPr>
          <w:rFonts w:ascii="Arial" w:cs="Arial" w:eastAsia="Arial" w:hAnsi="Arial"/>
          <w:b/>
          <w:bCs/>
          <w:color w:val="1A2744"/>
          <w:sz w:val="32"/>
          <w:szCs w:val="32"/>
        </w:rPr>
        <w:t xml:space="preserve">2. Code 2024 Changes to Remuneration</w:t>
      </w:r>
    </w:p>
    <w:p>
      <w:pPr>
        <w:pStyle w:val="Heading2"/>
      </w:pPr>
      <w:r>
        <w:rPr>
          <w:rFonts w:ascii="Arial" w:cs="Arial" w:eastAsia="Arial" w:hAnsi="Arial"/>
          <w:b/>
          <w:bCs/>
          <w:color w:val="1A2744"/>
          <w:sz w:val="26"/>
          <w:szCs w:val="26"/>
        </w:rPr>
        <w:t xml:space="preserve">New Malus and Clawback Disclosure Requirements</w:t>
      </w:r>
    </w:p>
    <w:p>
      <w:pPr>
        <w:spacing w:after="160"/>
      </w:pPr>
      <w:r>
        <w:rPr>
          <w:rFonts w:ascii="Arial" w:cs="Arial" w:eastAsia="Arial" w:hAnsi="Arial"/>
          <w:sz w:val="20"/>
          <w:szCs w:val="20"/>
        </w:rPr>
        <w:t xml:space="preserve">Section 5 of the UK Corporate Governance Code 2024 introduces two new disclosure obligations:</w:t>
      </w:r>
    </w:p>
    <w:p>
      <w:pPr>
        <w:pStyle w:val="ListParagraph"/>
        <w:numPr>
          <w:ilvl w:val="0"/>
          <w:numId w:val="2"/>
        </w:numPr>
      </w:pPr>
      <w:r>
        <w:rPr>
          <w:rFonts w:ascii="Arial" w:cs="Arial" w:eastAsia="Arial" w:hAnsi="Arial"/>
          <w:sz w:val="20"/>
          <w:szCs w:val="20"/>
        </w:rPr>
        <w:t xml:space="preserve">Companies must disclose the minimum periods for which their malus and clawback arrangements will operate</w:t>
      </w:r>
    </w:p>
    <w:p>
      <w:pPr>
        <w:pStyle w:val="ListParagraph"/>
        <w:numPr>
          <w:ilvl w:val="0"/>
          <w:numId w:val="2"/>
        </w:numPr>
      </w:pPr>
      <w:r>
        <w:rPr>
          <w:rFonts w:ascii="Arial" w:cs="Arial" w:eastAsia="Arial" w:hAnsi="Arial"/>
          <w:sz w:val="20"/>
          <w:szCs w:val="20"/>
        </w:rPr>
        <w:t xml:space="preserve">Companies must explain why those minimum periods are considered appropriate</w:t>
      </w:r>
    </w:p>
    <w:p>
      <w:pPr>
        <w:spacing w:after="160"/>
      </w:pPr>
      <w:r>
        <w:rPr>
          <w:rFonts w:ascii="Arial" w:cs="Arial" w:eastAsia="Arial" w:hAnsi="Arial"/>
          <w:sz w:val="20"/>
          <w:szCs w:val="20"/>
        </w:rPr>
        <w:t xml:space="preserve">This is a more substantive obligation than previous Code requirements. It is not sufficient to state that malus and clawback provisions exist — companies must now explain the duration and the rationale for that duration.</w:t>
      </w:r>
    </w:p>
    <w:p>
      <w:pPr>
        <w:pStyle w:val="Heading2"/>
      </w:pPr>
      <w:r>
        <w:rPr>
          <w:rFonts w:ascii="Arial" w:cs="Arial" w:eastAsia="Arial" w:hAnsi="Arial"/>
          <w:b/>
          <w:bCs/>
          <w:color w:val="1A2744"/>
          <w:sz w:val="26"/>
          <w:szCs w:val="26"/>
        </w:rPr>
        <w:t xml:space="preserve">What Has NOT Changed from the Previous Code</w:t>
      </w:r>
    </w:p>
    <w:p>
      <w:pPr>
        <w:pStyle w:val="ListParagraph"/>
        <w:numPr>
          <w:ilvl w:val="0"/>
          <w:numId w:val="2"/>
        </w:numPr>
      </w:pPr>
      <w:r>
        <w:rPr>
          <w:rFonts w:ascii="Arial" w:cs="Arial" w:eastAsia="Arial" w:hAnsi="Arial"/>
          <w:sz w:val="20"/>
          <w:szCs w:val="20"/>
        </w:rPr>
        <w:t xml:space="preserve">The requirement for remuneration policies to include malus and clawback provisions is not new — this has been required for many years</w:t>
      </w:r>
    </w:p>
    <w:p>
      <w:pPr>
        <w:pStyle w:val="ListParagraph"/>
        <w:numPr>
          <w:ilvl w:val="0"/>
          <w:numId w:val="2"/>
        </w:numPr>
      </w:pPr>
      <w:r>
        <w:rPr>
          <w:rFonts w:ascii="Arial" w:cs="Arial" w:eastAsia="Arial" w:hAnsi="Arial"/>
          <w:sz w:val="20"/>
          <w:szCs w:val="20"/>
        </w:rPr>
        <w:t xml:space="preserve">The requirement for the board to ensure that executive pay is aligned with the long-term interests of the company and its shareholders</w:t>
      </w:r>
    </w:p>
    <w:p>
      <w:pPr>
        <w:pStyle w:val="ListParagraph"/>
        <w:numPr>
          <w:ilvl w:val="0"/>
          <w:numId w:val="2"/>
        </w:numPr>
      </w:pPr>
      <w:r>
        <w:rPr>
          <w:rFonts w:ascii="Arial" w:cs="Arial" w:eastAsia="Arial" w:hAnsi="Arial"/>
          <w:sz w:val="20"/>
          <w:szCs w:val="20"/>
        </w:rPr>
        <w:t xml:space="preserve">The Remuneration Committee's responsibility for setting and implementing the remuneration policy for executive directors</w:t>
      </w:r>
    </w:p>
    <w:p>
      <w:pPr>
        <w:pStyle w:val="ListParagraph"/>
        <w:numPr>
          <w:ilvl w:val="0"/>
          <w:numId w:val="2"/>
        </w:numPr>
      </w:pPr>
      <w:r>
        <w:rPr>
          <w:rFonts w:ascii="Arial" w:cs="Arial" w:eastAsia="Arial" w:hAnsi="Arial"/>
          <w:sz w:val="20"/>
          <w:szCs w:val="20"/>
        </w:rPr>
        <w:t xml:space="preserve">The requirement for the remuneration report to be put to an advisory vote at the AGM (and the binding policy vote at least every three years)</w:t>
      </w:r>
    </w:p>
    <w:p>
      <w:pPr>
        <w:spacing w:after="160"/>
      </w:pPr>
      <w:r>
        <w:rPr>
          <w:rFonts w:ascii="Arial" w:cs="Arial" w:eastAsia="Arial" w:hAnsi="Arial"/>
          <w:sz w:val="20"/>
          <w:szCs w:val="20"/>
        </w:rPr>
        <w:t xml:space="preserve">The Code 2024 did not reinstate the specific diversity targets that had been proposed in earlier drafts — Principle A focuses on board effectiveness rather than prescribing diversity metrics for the Rem Committee.</w:t>
      </w:r>
    </w:p>
    <w:p>
      <w:pPr>
        <w:pStyle w:val="Heading1"/>
        <w:pageBreakBefore/>
      </w:pPr>
      <w:r>
        <w:rPr>
          <w:rFonts w:ascii="Arial" w:cs="Arial" w:eastAsia="Arial" w:hAnsi="Arial"/>
          <w:b/>
          <w:bCs/>
          <w:color w:val="1A2744"/>
          <w:sz w:val="32"/>
          <w:szCs w:val="32"/>
        </w:rPr>
        <w:t xml:space="preserve">3. Investor Body Expectations 2026</w:t>
      </w:r>
    </w:p>
    <w:p>
      <w:pPr>
        <w:pStyle w:val="Heading2"/>
      </w:pPr>
      <w:r>
        <w:rPr>
          <w:rFonts w:ascii="Arial" w:cs="Arial" w:eastAsia="Arial" w:hAnsi="Arial"/>
          <w:b/>
          <w:bCs/>
          <w:color w:val="1A2744"/>
          <w:sz w:val="26"/>
          <w:szCs w:val="26"/>
        </w:rPr>
        <w:t xml:space="preserve">ISS UK Policy</w:t>
      </w:r>
    </w:p>
    <w:p>
      <w:pPr>
        <w:spacing w:after="160"/>
      </w:pPr>
      <w:r>
        <w:rPr>
          <w:rFonts w:ascii="Arial" w:cs="Arial" w:eastAsia="Arial" w:hAnsi="Arial"/>
          <w:sz w:val="20"/>
          <w:szCs w:val="20"/>
        </w:rPr>
        <w:t xml:space="preserve">ISS (Institutional Shareholder Services) applies its UK voting guidelines to remuneration report and policy votes. Key triggers for ISS voting AGAINST remuneration resolutions in 2026 include:</w:t>
      </w:r>
    </w:p>
    <w:p>
      <w:pPr>
        <w:pStyle w:val="ListParagraph"/>
        <w:numPr>
          <w:ilvl w:val="0"/>
          <w:numId w:val="2"/>
        </w:numPr>
      </w:pPr>
      <w:r>
        <w:rPr>
          <w:rFonts w:ascii="Arial" w:cs="Arial" w:eastAsia="Arial" w:hAnsi="Arial"/>
          <w:sz w:val="20"/>
          <w:szCs w:val="20"/>
        </w:rPr>
        <w:t xml:space="preserve">Excessive quantum — pay packages that are disproportionate to company performance or peer benchmarking</w:t>
      </w:r>
    </w:p>
    <w:p>
      <w:pPr>
        <w:pStyle w:val="ListParagraph"/>
        <w:numPr>
          <w:ilvl w:val="0"/>
          <w:numId w:val="2"/>
        </w:numPr>
      </w:pPr>
      <w:r>
        <w:rPr>
          <w:rFonts w:ascii="Arial" w:cs="Arial" w:eastAsia="Arial" w:hAnsi="Arial"/>
          <w:sz w:val="20"/>
          <w:szCs w:val="20"/>
        </w:rPr>
        <w:t xml:space="preserve">Poor performance alignment — bonus or LTIP payments that appear to reward failure or underperformance relative to peers</w:t>
      </w:r>
    </w:p>
    <w:p>
      <w:pPr>
        <w:pStyle w:val="ListParagraph"/>
        <w:numPr>
          <w:ilvl w:val="0"/>
          <w:numId w:val="2"/>
        </w:numPr>
      </w:pPr>
      <w:r>
        <w:rPr>
          <w:rFonts w:ascii="Arial" w:cs="Arial" w:eastAsia="Arial" w:hAnsi="Arial"/>
          <w:sz w:val="20"/>
          <w:szCs w:val="20"/>
        </w:rPr>
        <w:t xml:space="preserve">Weak malus/clawback — provisions that do not meet best practice standards on duration, triggers, or enforcement</w:t>
      </w:r>
    </w:p>
    <w:p>
      <w:pPr>
        <w:pStyle w:val="ListParagraph"/>
        <w:numPr>
          <w:ilvl w:val="0"/>
          <w:numId w:val="2"/>
        </w:numPr>
      </w:pPr>
      <w:r>
        <w:rPr>
          <w:rFonts w:ascii="Arial" w:cs="Arial" w:eastAsia="Arial" w:hAnsi="Arial"/>
          <w:sz w:val="20"/>
          <w:szCs w:val="20"/>
        </w:rPr>
        <w:t xml:space="preserve">Non-disclosure — failure to provide the disclosure required by Code 2024 Section 5 on minimum malus/clawback periods</w:t>
      </w:r>
    </w:p>
    <w:p>
      <w:pPr>
        <w:pStyle w:val="ListParagraph"/>
        <w:numPr>
          <w:ilvl w:val="0"/>
          <w:numId w:val="2"/>
        </w:numPr>
      </w:pPr>
      <w:r>
        <w:rPr>
          <w:rFonts w:ascii="Arial" w:cs="Arial" w:eastAsia="Arial" w:hAnsi="Arial"/>
          <w:sz w:val="20"/>
          <w:szCs w:val="20"/>
        </w:rPr>
        <w:t xml:space="preserve">Windfall gains — LTIP awards that vest with significant gains driven by external factors rather than management performance</w:t>
      </w:r>
    </w:p>
    <w:p>
      <w:pPr>
        <w:pStyle w:val="Heading2"/>
      </w:pPr>
      <w:r>
        <w:rPr>
          <w:rFonts w:ascii="Arial" w:cs="Arial" w:eastAsia="Arial" w:hAnsi="Arial"/>
          <w:b/>
          <w:bCs/>
          <w:color w:val="1A2744"/>
          <w:sz w:val="26"/>
          <w:szCs w:val="26"/>
        </w:rPr>
        <w:t xml:space="preserve">Glass Lewis UK Guidelines</w:t>
      </w:r>
    </w:p>
    <w:p>
      <w:pPr>
        <w:spacing w:after="160"/>
      </w:pPr>
      <w:r>
        <w:rPr>
          <w:rFonts w:ascii="Arial" w:cs="Arial" w:eastAsia="Arial" w:hAnsi="Arial"/>
          <w:sz w:val="20"/>
          <w:szCs w:val="20"/>
        </w:rPr>
        <w:t xml:space="preserve">Glass Lewis focuses particularly on:</w:t>
      </w:r>
    </w:p>
    <w:p>
      <w:pPr>
        <w:pStyle w:val="ListParagraph"/>
        <w:numPr>
          <w:ilvl w:val="0"/>
          <w:numId w:val="2"/>
        </w:numPr>
      </w:pPr>
      <w:r>
        <w:rPr>
          <w:rFonts w:ascii="Arial" w:cs="Arial" w:eastAsia="Arial" w:hAnsi="Arial"/>
          <w:sz w:val="20"/>
          <w:szCs w:val="20"/>
        </w:rPr>
        <w:t xml:space="preserve">Retrospective pay adjustments — whether the Rem Committee has exercised malus or clawback during the year, and the transparency of disclosure if it has</w:t>
      </w:r>
    </w:p>
    <w:p>
      <w:pPr>
        <w:pStyle w:val="ListParagraph"/>
        <w:numPr>
          <w:ilvl w:val="0"/>
          <w:numId w:val="2"/>
        </w:numPr>
      </w:pPr>
      <w:r>
        <w:rPr>
          <w:rFonts w:ascii="Arial" w:cs="Arial" w:eastAsia="Arial" w:hAnsi="Arial"/>
          <w:sz w:val="20"/>
          <w:szCs w:val="20"/>
        </w:rPr>
        <w:t xml:space="preserve">Windfall gains treatment — companies should demonstrate they have considered whether any LTIP vesting produces windfall gains and, if so, what action was taken</w:t>
      </w:r>
    </w:p>
    <w:p>
      <w:pPr>
        <w:pStyle w:val="ListParagraph"/>
        <w:numPr>
          <w:ilvl w:val="0"/>
          <w:numId w:val="2"/>
        </w:numPr>
      </w:pPr>
      <w:r>
        <w:rPr>
          <w:rFonts w:ascii="Arial" w:cs="Arial" w:eastAsia="Arial" w:hAnsi="Arial"/>
          <w:sz w:val="20"/>
          <w:szCs w:val="20"/>
        </w:rPr>
        <w:t xml:space="preserve">Post-employment shareholding requirements — companies should have meaningful post-employment shareholding requirements and Glass Lewis monitors compliance</w:t>
      </w:r>
    </w:p>
    <w:p>
      <w:pPr>
        <w:pStyle w:val="Heading2"/>
      </w:pPr>
      <w:r>
        <w:rPr>
          <w:rFonts w:ascii="Arial" w:cs="Arial" w:eastAsia="Arial" w:hAnsi="Arial"/>
          <w:b/>
          <w:bCs/>
          <w:color w:val="1A2744"/>
          <w:sz w:val="26"/>
          <w:szCs w:val="26"/>
        </w:rPr>
        <w:t xml:space="preserve">Investment Association / IVIS</w:t>
      </w:r>
    </w:p>
    <w:p>
      <w:pPr>
        <w:spacing w:after="160"/>
      </w:pPr>
      <w:r>
        <w:rPr>
          <w:rFonts w:ascii="Arial" w:cs="Arial" w:eastAsia="Arial" w:hAnsi="Arial"/>
          <w:sz w:val="20"/>
          <w:szCs w:val="20"/>
        </w:rPr>
        <w:t xml:space="preserve">The Investment Association's IVIS (Institutional Voting Information Service) provides red and amber top guidance that significantly influences institutional investor voting. 2025/26 guidance includes:</w:t>
      </w:r>
    </w:p>
    <w:p>
      <w:pPr>
        <w:pStyle w:val="ListParagraph"/>
        <w:numPr>
          <w:ilvl w:val="0"/>
          <w:numId w:val="2"/>
        </w:numPr>
      </w:pPr>
      <w:r>
        <w:rPr>
          <w:rFonts w:ascii="Arial" w:cs="Arial" w:eastAsia="Arial" w:hAnsi="Arial"/>
          <w:sz w:val="20"/>
          <w:szCs w:val="20"/>
        </w:rPr>
        <w:t xml:space="preserve">Share dilution limits — IVIS monitors total dilution from share schemes. Firms approaching the 10% in 10 years limit will receive an amber/red top.</w:t>
      </w:r>
    </w:p>
    <w:p>
      <w:pPr>
        <w:pStyle w:val="ListParagraph"/>
        <w:numPr>
          <w:ilvl w:val="0"/>
          <w:numId w:val="2"/>
        </w:numPr>
      </w:pPr>
      <w:r>
        <w:rPr>
          <w:rFonts w:ascii="Arial" w:cs="Arial" w:eastAsia="Arial" w:hAnsi="Arial"/>
          <w:sz w:val="20"/>
          <w:szCs w:val="20"/>
        </w:rPr>
        <w:t xml:space="preserve">Pension alignment — executive director pension contributions should be aligned with the rate available to the wider workforce. Non-alignment receives an amber/red top.</w:t>
      </w:r>
    </w:p>
    <w:p>
      <w:pPr>
        <w:pStyle w:val="ListParagraph"/>
        <w:numPr>
          <w:ilvl w:val="0"/>
          <w:numId w:val="2"/>
        </w:numPr>
      </w:pPr>
      <w:r>
        <w:rPr>
          <w:rFonts w:ascii="Arial" w:cs="Arial" w:eastAsia="Arial" w:hAnsi="Arial"/>
          <w:sz w:val="20"/>
          <w:szCs w:val="20"/>
        </w:rPr>
        <w:t xml:space="preserve">Bonus metrics — IVIS expects a meaningful weighting of non-financial metrics (including ESG) in annual bonus. Purely financial bonus metrics will receive scrutiny.</w:t>
      </w:r>
    </w:p>
    <w:p>
      <w:pPr>
        <w:pStyle w:val="ListParagraph"/>
        <w:numPr>
          <w:ilvl w:val="0"/>
          <w:numId w:val="2"/>
        </w:numPr>
      </w:pPr>
      <w:r>
        <w:rPr>
          <w:rFonts w:ascii="Arial" w:cs="Arial" w:eastAsia="Arial" w:hAnsi="Arial"/>
          <w:sz w:val="20"/>
          <w:szCs w:val="20"/>
        </w:rPr>
        <w:t xml:space="preserve">LTIP metrics — performance conditions should be challenging, relevant to strategy, and clearly disclosed.</w:t>
      </w:r>
    </w:p>
    <w:p>
      <w:pPr>
        <w:pStyle w:val="Heading2"/>
      </w:pPr>
      <w:r>
        <w:rPr>
          <w:rFonts w:ascii="Arial" w:cs="Arial" w:eastAsia="Arial" w:hAnsi="Arial"/>
          <w:b/>
          <w:bCs/>
          <w:color w:val="1A2744"/>
          <w:sz w:val="26"/>
          <w:szCs w:val="26"/>
        </w:rPr>
        <w:t xml:space="preserve">PLSA Stewardship Guidelines</w:t>
      </w:r>
    </w:p>
    <w:p>
      <w:pPr>
        <w:spacing w:after="160"/>
      </w:pPr>
      <w:r>
        <w:rPr>
          <w:rFonts w:ascii="Arial" w:cs="Arial" w:eastAsia="Arial" w:hAnsi="Arial"/>
          <w:sz w:val="20"/>
          <w:szCs w:val="20"/>
        </w:rPr>
        <w:t xml:space="preserve">The Pensions and Lifetime Savings Association expects pension funds to consider remuneration as a stewardship priority. The PLSA encourages member funds to vote against remuneration reports where:</w:t>
      </w:r>
    </w:p>
    <w:p>
      <w:pPr>
        <w:pStyle w:val="ListParagraph"/>
        <w:numPr>
          <w:ilvl w:val="0"/>
          <w:numId w:val="2"/>
        </w:numPr>
      </w:pPr>
      <w:r>
        <w:rPr>
          <w:rFonts w:ascii="Arial" w:cs="Arial" w:eastAsia="Arial" w:hAnsi="Arial"/>
          <w:sz w:val="20"/>
          <w:szCs w:val="20"/>
        </w:rPr>
        <w:t xml:space="preserve">There is significant pay-performance misalignment</w:t>
      </w:r>
    </w:p>
    <w:p>
      <w:pPr>
        <w:pStyle w:val="ListParagraph"/>
        <w:numPr>
          <w:ilvl w:val="0"/>
          <w:numId w:val="2"/>
        </w:numPr>
      </w:pPr>
      <w:r>
        <w:rPr>
          <w:rFonts w:ascii="Arial" w:cs="Arial" w:eastAsia="Arial" w:hAnsi="Arial"/>
          <w:sz w:val="20"/>
          <w:szCs w:val="20"/>
        </w:rPr>
        <w:t xml:space="preserve">The remuneration committee has exercised excessive discretion in favour of executives</w:t>
      </w:r>
    </w:p>
    <w:p>
      <w:pPr>
        <w:pStyle w:val="ListParagraph"/>
        <w:numPr>
          <w:ilvl w:val="0"/>
          <w:numId w:val="2"/>
        </w:numPr>
      </w:pPr>
      <w:r>
        <w:rPr>
          <w:rFonts w:ascii="Arial" w:cs="Arial" w:eastAsia="Arial" w:hAnsi="Arial"/>
          <w:sz w:val="20"/>
          <w:szCs w:val="20"/>
        </w:rPr>
        <w:t xml:space="preserve">Malus and clawback provisions are inadequate</w:t>
      </w:r>
    </w:p>
    <w:p>
      <w:pPr>
        <w:pStyle w:val="Heading1"/>
        <w:pageBreakBefore/>
      </w:pPr>
      <w:r>
        <w:rPr>
          <w:rFonts w:ascii="Arial" w:cs="Arial" w:eastAsia="Arial" w:hAnsi="Arial"/>
          <w:b/>
          <w:bCs/>
          <w:color w:val="1A2744"/>
          <w:sz w:val="32"/>
          <w:szCs w:val="32"/>
        </w:rPr>
        <w:t xml:space="preserve">4. Rem Policy Best Practice Framework</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000"/>
        <w:gridCol w:w="3819"/>
        <w:gridCol w:w="3819"/>
      </w:tblGrid>
      <w:tr>
        <w:tc>
          <w:tcPr>
            <w:tcW w:type="dxa" w:w="2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Policy Element</w:t>
            </w:r>
          </w:p>
        </w:tc>
        <w:tc>
          <w:tcPr>
            <w:tcW w:type="dxa" w:w="38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Best Practice Standard</w:t>
            </w:r>
          </w:p>
        </w:tc>
        <w:tc>
          <w:tcPr>
            <w:tcW w:type="dxa" w:w="38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Common Weaknesses</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Salary</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Increases based on a clear rationale linked to role, market positioning, and performance. Comparison to median/upper quartile of relevant peer group disclosed. Workforce pay increase context provided.</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Increases above inflation without clear rationale. Lack of peer group disclosure. No workforce comparison.</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Annual Bonus</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Financial metrics (typically 60-70% weight) plus non-financial/strategic metrics (30-40%). Personal objectives with defined weighting. Deferral of at least 50% for three years for executive directors. Maximum opportunity disclosed as percentage of salary.</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Overly generous maximum opportunities. Vague personal objectives. Insufficient deferral. Threshold/target/maximum performance levels not disclosed.</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LTIP</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Performance period of at least three years. Meaningful performance conditions (TSR vs peers, EPS growth, ROCE, plus strategic/ESG conditions). Post-vesting holding period of at least two years. Maximum face value at grant disclosed.</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Insufficiently challenging performance conditions. No post-vesting holding period. Grants calibrated to near-certain vesting. Metrics not aligned to strategy.</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Malus Triggers</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Specific defined triggers: financial restatement, risk failure, misconduct, regulatory censure, material error in assessment of performance conditions. Minimum malus period disclosed with rationale (typically 3 years from award).</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Triggers too vague ('in certain circumstances'). No minimum period disclosed. No explanation of why period is appropriate.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Clawback</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Minimum period disclosed (typically 2 years post-vesting). Same triggers as malus plus any additional post-employment triggers. Process for enforcement documented. Board discretion to extend periods in exceptional circumstances.</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Clawback period not disclosed. No process for enforcement. No discretion to extend where circumstances require.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Pensions</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Executive director pension contribution aligned with the rate available to the wider workforce. If not aligned, a clear roadmap to alignment and timeline.</w:t>
            </w:r>
          </w:p>
        </w:tc>
        <w:tc>
          <w:tcPr>
            <w:tcW w:type="dxa" w:w="3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Pension contributions substantially above workforce rate with no roadmap to alignment.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Exit Payments</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Leaver provisions clearly set out for 'good leaver' and 'bad leaver' scenarios. Treatment of unvested awards clear and proportionate. Maximum exit payment cap disclosed.</w:t>
            </w:r>
          </w:p>
        </w:tc>
        <w:tc>
          <w:tcPr>
            <w:tcW w:type="dxa" w:w="3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Excessive exit provisions. Lack of differentiation between good and bad leavers.</w:t>
            </w:r>
          </w:p>
        </w:tc>
      </w:tr>
    </w:tbl>
    <w:p>
      <w:pPr>
        <w:pStyle w:val="Heading1"/>
        <w:pageBreakBefore/>
      </w:pPr>
      <w:r>
        <w:rPr>
          <w:rFonts w:ascii="Arial" w:cs="Arial" w:eastAsia="Arial" w:hAnsi="Arial"/>
          <w:b/>
          <w:bCs/>
          <w:color w:val="1A2744"/>
          <w:sz w:val="32"/>
          <w:szCs w:val="32"/>
        </w:rPr>
        <w:t xml:space="preserve">5. Malus and Clawback — Deep Dive</w:t>
      </w:r>
    </w:p>
    <w:p>
      <w:pPr>
        <w:spacing w:after="160"/>
      </w:pPr>
      <w:r>
        <w:rPr>
          <w:rFonts w:ascii="Arial" w:cs="Arial" w:eastAsia="Arial" w:hAnsi="Arial"/>
          <w:sz w:val="20"/>
          <w:szCs w:val="20"/>
        </w:rPr>
        <w:t xml:space="preserve">Malus and clawback are the Rem Committee's most important risk management tools. Code 2024 Section 5 has raised the bar on disclosure. This section provides the detail needed to meet best practice.</w:t>
      </w:r>
    </w:p>
    <w:p>
      <w:pPr>
        <w:pStyle w:val="Heading2"/>
      </w:pPr>
      <w:r>
        <w:rPr>
          <w:rFonts w:ascii="Arial" w:cs="Arial" w:eastAsia="Arial" w:hAnsi="Arial"/>
          <w:b/>
          <w:bCs/>
          <w:color w:val="1A2744"/>
          <w:sz w:val="26"/>
          <w:szCs w:val="26"/>
        </w:rPr>
        <w:t xml:space="preserve">What the Code and Investors Expect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7238"/>
      </w:tblGrid>
      <w:tr>
        <w:tc>
          <w:tcPr>
            <w:tcW w:type="dxa" w:w="24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Requirement</w:t>
            </w:r>
          </w:p>
        </w:tc>
        <w:tc>
          <w:tcPr>
            <w:tcW w:type="dxa" w:w="72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Minimum malus period — disclosed</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policy must state the minimum period for which malus will operate from the award date. Best practice: at least 3 years from grant for LTIP; at least the period until bonus deferral period ends for annual bonus.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Minimum clawback period — disclosed</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policy must state the minimum period for which clawback will operate post-vesting (LTIP) or post-payment (cash bonus). Best practice: at least 2 years post-vesting/payment.</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Rationale for periods — explained</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Code requires companies to explain why the chosen periods are appropriate — not just state them. The explanation should refer to the time needed to identify performance errors, the nature of the business, and any regulatory requirements.</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Triggering events — defined</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Triggers must be specific and defined in the policy, not left to board discretion. Minimum triggers: financial misstatement, material error in performance assessment, serious misconduct, regulatory censure, gross negligence.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Enforcement mechanics — documented</w:t>
            </w:r>
          </w:p>
        </w:tc>
        <w:tc>
          <w:tcPr>
            <w:tcW w:type="dxa" w:w="72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The policy and/or report should describe the process for enforcement — who decides, what evidence is needed, and how recovery is effected.</w:t>
            </w:r>
          </w:p>
        </w:tc>
      </w:tr>
      <w:tr>
        <w:tc>
          <w:tcPr>
            <w:tcW w:type="dxa" w:w="2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Discretion provisions</w:t>
            </w:r>
          </w:p>
        </w:tc>
        <w:tc>
          <w:tcPr>
            <w:tcW w:type="dxa" w:w="72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The policy should give the Rem Committee discretion to extend periods or apply provisions beyond the minimum in exceptional circumstances. This is consistent with investor expectations.</w:t>
            </w:r>
          </w:p>
        </w:tc>
      </w:tr>
    </w:tbl>
    <w:p>
      <w:pPr>
        <w:spacing w:after="160"/>
      </w:pPr>
      <w:r>
        <w:rPr>
          <w:rFonts w:ascii="Arial" w:cs="Arial" w:eastAsia="Arial" w:hAnsi="Arial"/>
          <w:sz w:val="20"/>
          <w:szCs w:val="20"/>
        </w:rPr>
        <w:t xml:space="preserve"/>
      </w:r>
    </w:p>
    <w:p>
      <w:pPr>
        <w:pStyle w:val="Heading2"/>
      </w:pPr>
      <w:r>
        <w:rPr>
          <w:rFonts w:ascii="Arial" w:cs="Arial" w:eastAsia="Arial" w:hAnsi="Arial"/>
          <w:b/>
          <w:bCs/>
          <w:color w:val="1A2744"/>
          <w:sz w:val="26"/>
          <w:szCs w:val="26"/>
        </w:rPr>
        <w:t xml:space="preserve">Template Malus and Clawback Disclosure Wording</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1A2744" w:sz="1"/>
              <w:left w:val="single" w:color="1A2744" w:sz="1"/>
              <w:bottom w:val="single" w:color="1A2744" w:sz="1"/>
              <w:right w:val="single" w:color="1A2744" w:sz="1"/>
            </w:tcBorders>
            <w:shd w:fill="F2F2F2" w:val="clear"/>
            <w:tcMar>
              <w:top w:type="dxa" w:w="120"/>
              <w:left w:type="dxa" w:w="180"/>
              <w:bottom w:type="dxa" w:w="120"/>
              <w:right w:type="dxa" w:w="180"/>
            </w:tcMar>
          </w:tcPr>
          <w:p>
            <w:r>
              <w:rPr>
                <w:rFonts w:ascii="Arial" w:cs="Arial" w:eastAsia="Arial" w:hAnsi="Arial"/>
                <w:i/>
                <w:iCs/>
                <w:sz w:val="20"/>
                <w:szCs w:val="20"/>
              </w:rPr>
              <w:t xml:space="preserve">TEMPLATE — Adapt with legal advice. This wording is indicative only.
"The Company's malus and clawback policy applies to annual bonus awards (including deferred elements) and LTIP awards. Malus provisions apply for a minimum period of [three] years from the date of award. Clawback provisions apply for a minimum period of [two] years following vesting (for LTIP) or payment (for annual bonus). The Remuneration Committee considers these periods appropriate because they cover the period during which the performance underlying the award can be fully assessed and any errors or misconduct identified. The Remuneration Committee retains discretion to extend these periods in exceptional circumstances. The malus and clawback provisions are triggered by: [list triggers]. During [year], no malus or clawback provisions were exercised [or: the Remuneration Committee exercised malus/clawback in respect of [summary], as disclosed in the Remuneration Report]."</w:t>
            </w:r>
          </w:p>
        </w:tc>
      </w:tr>
    </w:tbl>
    <w:p>
      <w:pPr>
        <w:pStyle w:val="Heading1"/>
        <w:pageBreakBefore/>
      </w:pPr>
      <w:r>
        <w:rPr>
          <w:rFonts w:ascii="Arial" w:cs="Arial" w:eastAsia="Arial" w:hAnsi="Arial"/>
          <w:b/>
          <w:bCs/>
          <w:color w:val="1A2744"/>
          <w:sz w:val="32"/>
          <w:szCs w:val="32"/>
        </w:rPr>
        <w:t xml:space="preserve">6. ESG Metrics in Remuneration</w:t>
      </w:r>
    </w:p>
    <w:p>
      <w:pPr>
        <w:spacing w:after="160"/>
      </w:pPr>
      <w:r>
        <w:rPr>
          <w:rFonts w:ascii="Arial" w:cs="Arial" w:eastAsia="Arial" w:hAnsi="Arial"/>
          <w:sz w:val="20"/>
          <w:szCs w:val="20"/>
        </w:rPr>
        <w:t xml:space="preserve">Investor expectations for ESG metrics in executive incentive plans have increased significantly. For the 2026 AGM season, the absence of ESG metrics in any element of executive pay will attract scrutiny from ISS, Glass Lewis, and the Investment Association.</w:t>
      </w:r>
    </w:p>
    <w:p>
      <w:pPr>
        <w:pStyle w:val="Heading2"/>
      </w:pPr>
      <w:r>
        <w:rPr>
          <w:rFonts w:ascii="Arial" w:cs="Arial" w:eastAsia="Arial" w:hAnsi="Arial"/>
          <w:b/>
          <w:bCs/>
          <w:color w:val="1A2744"/>
          <w:sz w:val="26"/>
          <w:szCs w:val="26"/>
        </w:rPr>
        <w:t xml:space="preserve">What Good Looks Like</w:t>
      </w:r>
    </w:p>
    <w:p>
      <w:pPr>
        <w:pStyle w:val="ListParagraph"/>
        <w:numPr>
          <w:ilvl w:val="0"/>
          <w:numId w:val="2"/>
        </w:numPr>
      </w:pPr>
      <w:r>
        <w:rPr>
          <w:rFonts w:ascii="Arial" w:cs="Arial" w:eastAsia="Arial" w:hAnsi="Arial"/>
          <w:sz w:val="20"/>
          <w:szCs w:val="20"/>
        </w:rPr>
        <w:t xml:space="preserve">ESG metrics are material to the company's strategy — not selected because they are easy to achieve</w:t>
      </w:r>
    </w:p>
    <w:p>
      <w:pPr>
        <w:pStyle w:val="ListParagraph"/>
        <w:numPr>
          <w:ilvl w:val="0"/>
          <w:numId w:val="2"/>
        </w:numPr>
      </w:pPr>
      <w:r>
        <w:rPr>
          <w:rFonts w:ascii="Arial" w:cs="Arial" w:eastAsia="Arial" w:hAnsi="Arial"/>
          <w:sz w:val="20"/>
          <w:szCs w:val="20"/>
        </w:rPr>
        <w:t xml:space="preserve">Metrics are measurable with clear, pre-determined targets and disclosed thresholds</w:t>
      </w:r>
    </w:p>
    <w:p>
      <w:pPr>
        <w:pStyle w:val="ListParagraph"/>
        <w:numPr>
          <w:ilvl w:val="0"/>
          <w:numId w:val="2"/>
        </w:numPr>
      </w:pPr>
      <w:r>
        <w:rPr>
          <w:rFonts w:ascii="Arial" w:cs="Arial" w:eastAsia="Arial" w:hAnsi="Arial"/>
          <w:sz w:val="20"/>
          <w:szCs w:val="20"/>
        </w:rPr>
        <w:t xml:space="preserve">Outcomes are independently verified or audited where possible</w:t>
      </w:r>
    </w:p>
    <w:p>
      <w:pPr>
        <w:pStyle w:val="ListParagraph"/>
        <w:numPr>
          <w:ilvl w:val="0"/>
          <w:numId w:val="2"/>
        </w:numPr>
      </w:pPr>
      <w:r>
        <w:rPr>
          <w:rFonts w:ascii="Arial" w:cs="Arial" w:eastAsia="Arial" w:hAnsi="Arial"/>
          <w:sz w:val="20"/>
          <w:szCs w:val="20"/>
        </w:rPr>
        <w:t xml:space="preserve">The weighting assigned to ESG metrics is meaningful — a 2% weighting on ESG with no potential impact on vesting is not credible</w:t>
      </w:r>
    </w:p>
    <w:p>
      <w:pPr>
        <w:pStyle w:val="ListParagraph"/>
        <w:numPr>
          <w:ilvl w:val="0"/>
          <w:numId w:val="2"/>
        </w:numPr>
      </w:pPr>
      <w:r>
        <w:rPr>
          <w:rFonts w:ascii="Arial" w:cs="Arial" w:eastAsia="Arial" w:hAnsi="Arial"/>
          <w:sz w:val="20"/>
          <w:szCs w:val="20"/>
        </w:rPr>
        <w:t xml:space="preserve">Metrics are linked to the company's published sustainability strategy and targets</w:t>
      </w:r>
    </w:p>
    <w:p>
      <w:pPr>
        <w:pStyle w:val="Heading2"/>
      </w:pPr>
      <w:r>
        <w:rPr>
          <w:rFonts w:ascii="Arial" w:cs="Arial" w:eastAsia="Arial" w:hAnsi="Arial"/>
          <w:b/>
          <w:bCs/>
          <w:color w:val="1A2744"/>
          <w:sz w:val="26"/>
          <w:szCs w:val="26"/>
        </w:rPr>
        <w:t xml:space="preserve">Common Mistakes</w:t>
      </w:r>
    </w:p>
    <w:p>
      <w:pPr>
        <w:pStyle w:val="ListParagraph"/>
        <w:numPr>
          <w:ilvl w:val="0"/>
          <w:numId w:val="2"/>
        </w:numPr>
      </w:pPr>
      <w:r>
        <w:rPr>
          <w:rFonts w:ascii="Arial" w:cs="Arial" w:eastAsia="Arial" w:hAnsi="Arial"/>
          <w:sz w:val="20"/>
          <w:szCs w:val="20"/>
        </w:rPr>
        <w:t xml:space="preserve">Vague or boilerplate ESG conditions ('deliver on ESG commitments') that provide no objective basis for assessment</w:t>
      </w:r>
    </w:p>
    <w:p>
      <w:pPr>
        <w:pStyle w:val="ListParagraph"/>
        <w:numPr>
          <w:ilvl w:val="0"/>
          <w:numId w:val="2"/>
        </w:numPr>
      </w:pPr>
      <w:r>
        <w:rPr>
          <w:rFonts w:ascii="Arial" w:cs="Arial" w:eastAsia="Arial" w:hAnsi="Arial"/>
          <w:sz w:val="20"/>
          <w:szCs w:val="20"/>
        </w:rPr>
        <w:t xml:space="preserve">Metrics that are practically certain to be achieved (e.g., 'publish a Net Zero plan' when the plan is already prepared)</w:t>
      </w:r>
    </w:p>
    <w:p>
      <w:pPr>
        <w:pStyle w:val="ListParagraph"/>
        <w:numPr>
          <w:ilvl w:val="0"/>
          <w:numId w:val="2"/>
        </w:numPr>
      </w:pPr>
      <w:r>
        <w:rPr>
          <w:rFonts w:ascii="Arial" w:cs="Arial" w:eastAsia="Arial" w:hAnsi="Arial"/>
          <w:sz w:val="20"/>
          <w:szCs w:val="20"/>
        </w:rPr>
        <w:t xml:space="preserve">ESG metrics that are process-based rather than outcome-based (e.g., 'adopt a diversity policy' rather than 'achieve X% representation by year Y')</w:t>
      </w:r>
    </w:p>
    <w:p>
      <w:pPr>
        <w:pStyle w:val="ListParagraph"/>
        <w:numPr>
          <w:ilvl w:val="0"/>
          <w:numId w:val="2"/>
        </w:numPr>
      </w:pPr>
      <w:r>
        <w:rPr>
          <w:rFonts w:ascii="Arial" w:cs="Arial" w:eastAsia="Arial" w:hAnsi="Arial"/>
          <w:sz w:val="20"/>
          <w:szCs w:val="20"/>
        </w:rPr>
        <w:t xml:space="preserve">No disclosure of outcome — companies must disclose whether ESG metrics were met and how the Rem Committee assessed performance against them</w:t>
      </w:r>
    </w:p>
    <w:p>
      <w:pPr>
        <w:pStyle w:val="ListParagraph"/>
        <w:numPr>
          <w:ilvl w:val="0"/>
          <w:numId w:val="2"/>
        </w:numPr>
      </w:pPr>
      <w:r>
        <w:rPr>
          <w:rFonts w:ascii="Arial" w:cs="Arial" w:eastAsia="Arial" w:hAnsi="Arial"/>
          <w:sz w:val="20"/>
          <w:szCs w:val="20"/>
        </w:rPr>
        <w:t xml:space="preserve">ESG metrics concentrated in the annual bonus only — investors increasingly expect ESG conditions in the LTIP as well, given the long-term nature of ESG risks and opportunities</w:t>
      </w:r>
    </w:p>
    <w:p>
      <w:pPr>
        <w:pStyle w:val="Heading1"/>
        <w:pageBreakBefore/>
      </w:pPr>
      <w:r>
        <w:rPr>
          <w:rFonts w:ascii="Arial" w:cs="Arial" w:eastAsia="Arial" w:hAnsi="Arial"/>
          <w:b/>
          <w:bCs/>
          <w:color w:val="1A2744"/>
          <w:sz w:val="32"/>
          <w:szCs w:val="32"/>
        </w:rPr>
        <w:t xml:space="preserve">7. Rem Committee Annual Cycle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200"/>
        <w:gridCol w:w="3619"/>
        <w:gridCol w:w="4819"/>
      </w:tblGrid>
      <w:tr>
        <w:tc>
          <w:tcPr>
            <w:tcW w:type="dxa" w:w="12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Month</w:t>
            </w:r>
          </w:p>
        </w:tc>
        <w:tc>
          <w:tcPr>
            <w:tcW w:type="dxa" w:w="36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Activity</w:t>
            </w:r>
          </w:p>
        </w:tc>
        <w:tc>
          <w:tcPr>
            <w:tcW w:type="dxa" w:w="4819"/>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Detail</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January</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Salary review preparation</w:t>
            </w:r>
          </w:p>
        </w:tc>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Review market data, peer comparisons, and workforce pay increase context. Commission remuneration adviser benchmarking report if required.</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February</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Salary decisions</w:t>
            </w:r>
          </w:p>
        </w:tc>
        <w:tc>
          <w:tcPr>
            <w:tcW w:type="dxa" w:w="4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Rem Committee approves executive director salary increases for the year ahead. Rationale documented for remuneration report.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February/March</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Annual bonus outcome assessment</w:t>
            </w:r>
          </w:p>
        </w:tc>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Assess performance against prior year bonus metrics. Apply malus provisions if relevant. Approve bonus payment and deferral amounts.</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March</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LTIP grant</w:t>
            </w:r>
          </w:p>
        </w:tc>
        <w:tc>
          <w:tcPr>
            <w:tcW w:type="dxa" w:w="4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Approve LTIP grant for current year. Confirm performance conditions and measurement basis. Grant notices issued.</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April/May</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Remuneration report drafting</w:t>
            </w:r>
          </w:p>
        </w:tc>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Draft remuneration report for inclusion in Annual Report. Legal counsel review. Confirm Code 2024 Section 5 malus/clawback disclosures are complete.</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May/June</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AGM preparation</w:t>
            </w:r>
          </w:p>
        </w:tc>
        <w:tc>
          <w:tcPr>
            <w:tcW w:type="dxa" w:w="4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Investor engagement on remuneration — particularly if policy is being put to a vote. Review ISS/Glass Lewis/IA pre-AGM guidance. Prepare Rem Committee Chair AGM statement.</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June/July</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AGM and investor feedback</w:t>
            </w:r>
          </w:p>
        </w:tc>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AGM vote on remuneration report (and policy if applicable). Analyse voting outcome and investor feedback. Plan investor engagement if significant vote against.</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August/September</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LTIP vesting review</w:t>
            </w:r>
          </w:p>
        </w:tc>
        <w:tc>
          <w:tcPr>
            <w:tcW w:type="dxa" w:w="4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Review performance conditions for LTIP awards vesting in the current year. Apply malus if relevant. Approve vesting outcome.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September/October</w:t>
            </w:r>
          </w:p>
        </w:tc>
        <w:tc>
          <w:tcPr>
            <w:tcW w:type="dxa" w:w="36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Policy review (if required)</w:t>
            </w:r>
          </w:p>
        </w:tc>
        <w:tc>
          <w:tcPr>
            <w:tcW w:type="dxa" w:w="481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If policy is due for renewal at next AGM, begin policy review process. Engage remuneration adviser. Draft updated policy.</w:t>
            </w:r>
          </w:p>
        </w:tc>
      </w:tr>
      <w:tr>
        <w:tc>
          <w:tcPr>
            <w:tcW w:type="dxa" w:w="1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November/December</w:t>
            </w:r>
          </w:p>
        </w:tc>
        <w:tc>
          <w:tcPr>
            <w:tcW w:type="dxa" w:w="36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Annual bonus target setting</w:t>
            </w:r>
          </w:p>
        </w:tc>
        <w:tc>
          <w:tcPr>
            <w:tcW w:type="dxa" w:w="481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Approve annual bonus performance metrics and targets for the year ahead. Ensure targets are sufficiently stretching. Confirm ESG metric inclusion.</w:t>
            </w:r>
          </w:p>
        </w:tc>
      </w:tr>
    </w:tbl>
    <w:p>
      <w:pPr>
        <w:pStyle w:val="Heading1"/>
        <w:pageBreakBefore/>
      </w:pPr>
      <w:r>
        <w:rPr>
          <w:rFonts w:ascii="Arial" w:cs="Arial" w:eastAsia="Arial" w:hAnsi="Arial"/>
          <w:b/>
          <w:bCs/>
          <w:color w:val="1A2744"/>
          <w:sz w:val="32"/>
          <w:szCs w:val="32"/>
        </w:rPr>
        <w:t xml:space="preserve">8. Remuneration Report Checklist</w:t>
      </w:r>
    </w:p>
    <w:p>
      <w:pPr>
        <w:spacing w:after="160"/>
      </w:pPr>
      <w:r>
        <w:rPr>
          <w:rFonts w:ascii="Arial" w:cs="Arial" w:eastAsia="Arial" w:hAnsi="Arial"/>
          <w:b/>
          <w:bCs/>
          <w:sz w:val="20"/>
          <w:szCs w:val="20"/>
        </w:rPr>
        <w:t xml:space="preserve">Use this checklist before finalising the Remuneration Report for the Annual Report.</w:t>
      </w:r>
    </w:p>
    <w:p>
      <w:pPr>
        <w:spacing w:after="160"/>
      </w:pPr>
      <w:r>
        <w:rPr>
          <w:rFonts w:ascii="Arial" w:cs="Arial" w:eastAsia="Arial" w:hAnsi="Arial"/>
          <w:sz w:val="20"/>
          <w:szCs w:val="20"/>
        </w:rPr>
        <w:t xml:space="preserve"/>
      </w:r>
    </w:p>
    <w:p>
      <w:pPr>
        <w:spacing w:after="100"/>
      </w:pPr>
      <w:r>
        <w:rPr>
          <w:rFonts w:ascii="Arial" w:cs="Arial" w:eastAsia="Arial" w:hAnsi="Arial"/>
          <w:sz w:val="20"/>
          <w:szCs w:val="20"/>
        </w:rPr>
        <w:t xml:space="preserve">☐  Malus and clawback disclosure complete — minimum periods stated for both malus and clawback, with explanation of why those periods are appropriate (Code 2024 Section 5)</w:t>
      </w:r>
    </w:p>
    <w:p>
      <w:pPr>
        <w:spacing w:after="100"/>
      </w:pPr>
      <w:r>
        <w:rPr>
          <w:rFonts w:ascii="Arial" w:cs="Arial" w:eastAsia="Arial" w:hAnsi="Arial"/>
          <w:sz w:val="20"/>
          <w:szCs w:val="20"/>
        </w:rPr>
        <w:t xml:space="preserve">☐  Single total figure table complete and correctly calculated for all executive directors</w:t>
      </w:r>
    </w:p>
    <w:p>
      <w:pPr>
        <w:spacing w:after="100"/>
      </w:pPr>
      <w:r>
        <w:rPr>
          <w:rFonts w:ascii="Arial" w:cs="Arial" w:eastAsia="Arial" w:hAnsi="Arial"/>
          <w:sz w:val="20"/>
          <w:szCs w:val="20"/>
        </w:rPr>
        <w:t xml:space="preserve">☐  Policy table up to date — if policy has changed, new table included and policy resolution tabled for AGM</w:t>
      </w:r>
    </w:p>
    <w:p>
      <w:pPr>
        <w:spacing w:after="100"/>
      </w:pPr>
      <w:r>
        <w:rPr>
          <w:rFonts w:ascii="Arial" w:cs="Arial" w:eastAsia="Arial" w:hAnsi="Arial"/>
          <w:sz w:val="20"/>
          <w:szCs w:val="20"/>
        </w:rPr>
        <w:t xml:space="preserve">☐  CEO pay ratio included if required (companies with more than 250 UK employees) — methodology stated</w:t>
      </w:r>
    </w:p>
    <w:p>
      <w:pPr>
        <w:spacing w:after="100"/>
      </w:pPr>
      <w:r>
        <w:rPr>
          <w:rFonts w:ascii="Arial" w:cs="Arial" w:eastAsia="Arial" w:hAnsi="Arial"/>
          <w:sz w:val="20"/>
          <w:szCs w:val="20"/>
        </w:rPr>
        <w:t xml:space="preserve">☐  Gender pay gap cross-reference included where relevant</w:t>
      </w:r>
    </w:p>
    <w:p>
      <w:pPr>
        <w:spacing w:after="100"/>
      </w:pPr>
      <w:r>
        <w:rPr>
          <w:rFonts w:ascii="Arial" w:cs="Arial" w:eastAsia="Arial" w:hAnsi="Arial"/>
          <w:sz w:val="20"/>
          <w:szCs w:val="20"/>
        </w:rPr>
        <w:t xml:space="preserve">☐  ESG metric outcomes disclosed — actual performance against ESG metrics explained, not just stated</w:t>
      </w:r>
    </w:p>
    <w:p>
      <w:pPr>
        <w:spacing w:after="100"/>
      </w:pPr>
      <w:r>
        <w:rPr>
          <w:rFonts w:ascii="Arial" w:cs="Arial" w:eastAsia="Arial" w:hAnsi="Arial"/>
          <w:sz w:val="20"/>
          <w:szCs w:val="20"/>
        </w:rPr>
        <w:t xml:space="preserve">☐  Discretion exercise disclosed — where the Rem Committee has exercised upward or downward discretion, this is clearly explained</w:t>
      </w:r>
    </w:p>
    <w:p>
      <w:pPr>
        <w:spacing w:after="100"/>
      </w:pPr>
      <w:r>
        <w:rPr>
          <w:rFonts w:ascii="Arial" w:cs="Arial" w:eastAsia="Arial" w:hAnsi="Arial"/>
          <w:sz w:val="20"/>
          <w:szCs w:val="20"/>
        </w:rPr>
        <w:t xml:space="preserve">☐  Malus and clawback application disclosed — whether any provisions were applied in the year (or confirmation that none were applied)</w:t>
      </w:r>
    </w:p>
    <w:p>
      <w:pPr>
        <w:spacing w:after="100"/>
      </w:pPr>
      <w:r>
        <w:rPr>
          <w:rFonts w:ascii="Arial" w:cs="Arial" w:eastAsia="Arial" w:hAnsi="Arial"/>
          <w:sz w:val="20"/>
          <w:szCs w:val="20"/>
        </w:rPr>
        <w:t xml:space="preserve">☐  Investor engagement section included — if there was significant vote against remuneration at prior AGM, engagement activity described</w:t>
      </w:r>
    </w:p>
    <w:p>
      <w:pPr>
        <w:spacing w:after="100"/>
      </w:pPr>
      <w:r>
        <w:rPr>
          <w:rFonts w:ascii="Arial" w:cs="Arial" w:eastAsia="Arial" w:hAnsi="Arial"/>
          <w:sz w:val="20"/>
          <w:szCs w:val="20"/>
        </w:rPr>
        <w:t xml:space="preserve">☐  Post-employment shareholding requirements disclosed for all executive directors</w:t>
      </w:r>
    </w:p>
    <w:p>
      <w:pPr>
        <w:spacing w:after="100"/>
      </w:pPr>
      <w:r>
        <w:rPr>
          <w:rFonts w:ascii="Arial" w:cs="Arial" w:eastAsia="Arial" w:hAnsi="Arial"/>
          <w:sz w:val="20"/>
          <w:szCs w:val="20"/>
        </w:rPr>
        <w:t xml:space="preserve">☐  Rem Committee Chair statement signed off by Chair personally, not just prepared by management</w:t>
      </w:r>
    </w:p>
    <w:p>
      <w:pPr>
        <w:pStyle w:val="Heading1"/>
        <w:pageBreakBefore/>
      </w:pPr>
      <w:r>
        <w:rPr>
          <w:rFonts w:ascii="Arial" w:cs="Arial" w:eastAsia="Arial" w:hAnsi="Arial"/>
          <w:b/>
          <w:bCs/>
          <w:color w:val="1A2744"/>
          <w:sz w:val="32"/>
          <w:szCs w:val="32"/>
        </w:rPr>
        <w:t xml:space="preserve">9. Board Questions for Rem Committee</w:t>
      </w:r>
    </w:p>
    <w:p>
      <w:pPr>
        <w:spacing w:after="160"/>
      </w:pPr>
      <w:r>
        <w:rPr>
          <w:rFonts w:ascii="Arial" w:cs="Arial" w:eastAsia="Arial" w:hAnsi="Arial"/>
          <w:b/>
          <w:bCs/>
          <w:sz w:val="20"/>
          <w:szCs w:val="20"/>
        </w:rPr>
        <w:t xml:space="preserve">The following questions should guide the board's engagement with the Rem Committee.</w:t>
      </w:r>
    </w:p>
    <w:p>
      <w:pPr>
        <w:spacing w:after="160"/>
      </w:pPr>
      <w:r>
        <w:rPr>
          <w:rFonts w:ascii="Arial" w:cs="Arial" w:eastAsia="Arial" w:hAnsi="Arial"/>
          <w:sz w:val="20"/>
          <w:szCs w:val="20"/>
        </w:rPr>
        <w:t xml:space="preserve"/>
      </w:r>
    </w:p>
    <w:p>
      <w:pPr>
        <w:pStyle w:val="ListParagraph"/>
        <w:numPr>
          <w:ilvl w:val="0"/>
          <w:numId w:val="2"/>
        </w:numPr>
      </w:pPr>
      <w:r>
        <w:rPr>
          <w:rFonts w:ascii="Arial" w:cs="Arial" w:eastAsia="Arial" w:hAnsi="Arial"/>
          <w:sz w:val="20"/>
          <w:szCs w:val="20"/>
        </w:rPr>
        <w:t xml:space="preserve">1. Does our remuneration policy comply with the new Code 2024 Section 5 requirements — specifically, have we disclosed minimum malus and clawback periods with an explanation of why those periods are appropriate?</w:t>
      </w:r>
    </w:p>
    <w:p>
      <w:pPr>
        <w:pStyle w:val="ListParagraph"/>
        <w:numPr>
          <w:ilvl w:val="0"/>
          <w:numId w:val="2"/>
        </w:numPr>
      </w:pPr>
      <w:r>
        <w:rPr>
          <w:rFonts w:ascii="Arial" w:cs="Arial" w:eastAsia="Arial" w:hAnsi="Arial"/>
          <w:sz w:val="20"/>
          <w:szCs w:val="20"/>
        </w:rPr>
        <w:t xml:space="preserve">2. Are our malus and clawback provisions robust? Do they include all the triggers that investors and the Code expect?</w:t>
      </w:r>
    </w:p>
    <w:p>
      <w:pPr>
        <w:pStyle w:val="ListParagraph"/>
        <w:numPr>
          <w:ilvl w:val="0"/>
          <w:numId w:val="2"/>
        </w:numPr>
      </w:pPr>
      <w:r>
        <w:rPr>
          <w:rFonts w:ascii="Arial" w:cs="Arial" w:eastAsia="Arial" w:hAnsi="Arial"/>
          <w:sz w:val="20"/>
          <w:szCs w:val="20"/>
        </w:rPr>
        <w:t xml:space="preserve">3. Have we reviewed our LTIP performance conditions to ensure they are sufficiently challenging and aligned with the company's strategy?</w:t>
      </w:r>
    </w:p>
    <w:p>
      <w:pPr>
        <w:pStyle w:val="ListParagraph"/>
        <w:numPr>
          <w:ilvl w:val="0"/>
          <w:numId w:val="2"/>
        </w:numPr>
      </w:pPr>
      <w:r>
        <w:rPr>
          <w:rFonts w:ascii="Arial" w:cs="Arial" w:eastAsia="Arial" w:hAnsi="Arial"/>
          <w:sz w:val="20"/>
          <w:szCs w:val="20"/>
        </w:rPr>
        <w:t xml:space="preserve">4. What is the status of our pension alignment? Are executive director pension contributions aligned with the wider workforce rate?</w:t>
      </w:r>
    </w:p>
    <w:p>
      <w:pPr>
        <w:pStyle w:val="ListParagraph"/>
        <w:numPr>
          <w:ilvl w:val="0"/>
          <w:numId w:val="2"/>
        </w:numPr>
      </w:pPr>
      <w:r>
        <w:rPr>
          <w:rFonts w:ascii="Arial" w:cs="Arial" w:eastAsia="Arial" w:hAnsi="Arial"/>
          <w:sz w:val="20"/>
          <w:szCs w:val="20"/>
        </w:rPr>
        <w:t xml:space="preserve">5. Are we including meaningful ESG metrics in our incentive plans, and have we planned for how we will disclose outcomes against those metrics?</w:t>
      </w:r>
    </w:p>
    <w:p>
      <w:pPr>
        <w:pStyle w:val="ListParagraph"/>
        <w:numPr>
          <w:ilvl w:val="0"/>
          <w:numId w:val="2"/>
        </w:numPr>
      </w:pPr>
      <w:r>
        <w:rPr>
          <w:rFonts w:ascii="Arial" w:cs="Arial" w:eastAsia="Arial" w:hAnsi="Arial"/>
          <w:sz w:val="20"/>
          <w:szCs w:val="20"/>
        </w:rPr>
        <w:t xml:space="preserve">6. What feedback did we receive from investors or proxy advisers on our remuneration report at the last AGM? Have we addressed those concerns?</w:t>
      </w:r>
    </w:p>
    <w:p>
      <w:pPr>
        <w:pStyle w:val="ListParagraph"/>
        <w:numPr>
          <w:ilvl w:val="0"/>
          <w:numId w:val="2"/>
        </w:numPr>
      </w:pPr>
      <w:r>
        <w:rPr>
          <w:rFonts w:ascii="Arial" w:cs="Arial" w:eastAsia="Arial" w:hAnsi="Arial"/>
          <w:sz w:val="20"/>
          <w:szCs w:val="20"/>
        </w:rPr>
        <w:t xml:space="preserve">7. If our remuneration policy is due for renewal at the next AGM, is the review process on track?</w:t>
      </w:r>
    </w:p>
    <w:p>
      <w:pPr>
        <w:pStyle w:val="ListParagraph"/>
        <w:numPr>
          <w:ilvl w:val="0"/>
          <w:numId w:val="2"/>
        </w:numPr>
      </w:pPr>
      <w:r>
        <w:rPr>
          <w:rFonts w:ascii="Arial" w:cs="Arial" w:eastAsia="Arial" w:hAnsi="Arial"/>
          <w:sz w:val="20"/>
          <w:szCs w:val="20"/>
        </w:rPr>
        <w:t xml:space="preserve">8. Has the Rem Committee considered whether any windfall gains have arisen in LTIP awards vesting this year, and if so, how should the committee respond?</w:t>
      </w:r>
    </w:p>
    <w:p>
      <w:pPr>
        <w:pStyle w:val="ListParagraph"/>
        <w:numPr>
          <w:ilvl w:val="0"/>
          <w:numId w:val="2"/>
        </w:numPr>
      </w:pPr>
      <w:r>
        <w:rPr>
          <w:rFonts w:ascii="Arial" w:cs="Arial" w:eastAsia="Arial" w:hAnsi="Arial"/>
          <w:sz w:val="20"/>
          <w:szCs w:val="20"/>
        </w:rPr>
        <w:t xml:space="preserve">9. Are we satisfied that our annual bonus targets for the year ahead are sufficiently stretching — and that hitting target represents genuine outperformance, not routine delivery?</w:t>
      </w:r>
    </w:p>
    <w:p>
      <w:pPr>
        <w:pStyle w:val="ListParagraph"/>
        <w:numPr>
          <w:ilvl w:val="0"/>
          <w:numId w:val="2"/>
        </w:numPr>
      </w:pPr>
      <w:r>
        <w:rPr>
          <w:rFonts w:ascii="Arial" w:cs="Arial" w:eastAsia="Arial" w:hAnsi="Arial"/>
          <w:sz w:val="20"/>
          <w:szCs w:val="20"/>
        </w:rPr>
        <w:t xml:space="preserve">10. Is the Rem Committee Chair prepared to engage personally with institutional investors if there is a significant vote against the remuneration report at the upcoming AGM?</w:t>
      </w:r>
    </w:p>
    <w:p>
      <w:pPr>
        <w:pStyle w:val="Heading1"/>
        <w:pageBreakBefore/>
      </w:pPr>
      <w:r>
        <w:rPr>
          <w:rFonts w:ascii="Arial" w:cs="Arial" w:eastAsia="Arial" w:hAnsi="Arial"/>
          <w:b/>
          <w:bCs/>
          <w:color w:val="1A2744"/>
          <w:sz w:val="32"/>
          <w:szCs w:val="32"/>
        </w:rPr>
        <w:t xml:space="preserve">10. Key References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000"/>
        <w:gridCol w:w="6638"/>
      </w:tblGrid>
      <w:tr>
        <w:tc>
          <w:tcPr>
            <w:tcW w:type="dxa" w:w="3000"/>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Reference</w:t>
            </w:r>
          </w:p>
        </w:tc>
        <w:tc>
          <w:tcPr>
            <w:tcW w:type="dxa" w:w="6638"/>
            <w:tcBorders>
              <w:top w:val="single" w:color="1A2744" w:sz="1"/>
              <w:left w:val="single" w:color="1A2744" w:sz="1"/>
              <w:bottom w:val="single" w:color="1A2744" w:sz="1"/>
              <w:right w:val="single" w:color="1A2744" w:sz="1"/>
            </w:tcBorders>
            <w:shd w:fill="1A2744" w:val="clear"/>
            <w:tcMar>
              <w:top w:type="dxa" w:w="80"/>
              <w:left w:type="dxa" w:w="120"/>
              <w:bottom w:type="dxa" w:w="80"/>
              <w:right w:type="dxa" w:w="120"/>
            </w:tcMar>
            <w:vAlign w:val="center"/>
          </w:tcPr>
          <w:p>
            <w:r>
              <w:rPr>
                <w:rFonts w:ascii="Arial" w:cs="Arial" w:eastAsia="Arial" w:hAnsi="Arial"/>
                <w:b/>
                <w:bCs/>
                <w:color w:val="FFFFFF"/>
                <w:sz w:val="20"/>
                <w:szCs w:val="20"/>
              </w:rPr>
              <w:t xml:space="preserve">Relevance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UK Corporate Governance Code 2024 — Section 5</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Primary Code requirement on remuneration. Section 5 contains the new malus/clawback disclosure requirements (minimum periods and rationale). Applies to FY beginning on or after 1 January 2025.</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ISS UK Proxy Voting Guidelines 2026</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ISS voting policy for UK AGMs. Sets out the specific factors that will lead ISS to recommend against remuneration resolutions, including on quantum, performance alignment, and malus/clawback.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Glass Lewis UK Proxy Voting Guidelines 2026</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Glass Lewis voting policy for UK companies. Particular focus on windfall gains, retrospective pay adjustments, and post-employment shareholding.</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Investment Association / IVIS Red and Amber Top Guidance 2025/26</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IA/IVIS guidance on remuneration features that will attract a red or amber top from IVIS, including dilution limits, pension alignment, and bonus metric design.</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PLSA Stewardship and Voting Guidelines</w:t>
            </w:r>
          </w:p>
        </w:tc>
        <w:tc>
          <w:tcPr>
            <w:tcW w:type="dxa" w:w="663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0"/>
                <w:szCs w:val="20"/>
              </w:rPr>
              <w:t xml:space="preserve">PLSA stewardship guidance — sets out the expectations of pension fund members on executive remuneration governance and voting on remuneration resolutions.</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Companies Act 2006 — Large and Medium-Sized Companies Accounts Regulations</w:t>
            </w:r>
          </w:p>
        </w:tc>
        <w:tc>
          <w:tcPr>
            <w:tcW w:type="dxa" w:w="663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val="false"/>
                <w:bCs w:val="false"/>
                <w:sz w:val="20"/>
                <w:szCs w:val="20"/>
              </w:rPr>
              <w:t xml:space="preserve">Statutory requirements for the directors' remuneration report — including the single total figure table, policy table, and CEO pay ratio for qualifying companies.</w:t>
            </w:r>
          </w:p>
        </w:tc>
      </w:tr>
    </w:tbl>
    <w:p>
      <w:pPr>
        <w:pStyle w:val="Heading1"/>
        <w:pageBreakBefore/>
      </w:pPr>
      <w:r>
        <w:rPr>
          <w:rFonts w:ascii="Arial" w:cs="Arial" w:eastAsia="Arial" w:hAnsi="Arial"/>
          <w:b/>
          <w:bCs/>
          <w:color w:val="1A2744"/>
          <w:sz w:val="32"/>
          <w:szCs w:val="32"/>
        </w:rPr>
        <w:t xml:space="preserve">11. About INFORMD</w:t>
      </w:r>
    </w:p>
    <w:p>
      <w:pPr>
        <w:spacing w:after="160"/>
      </w:pPr>
      <w:r>
        <w:rPr>
          <w:rFonts w:ascii="Arial" w:cs="Arial" w:eastAsia="Arial" w:hAnsi="Arial"/>
          <w:sz w:val="20"/>
          <w:szCs w:val="20"/>
        </w:rPr>
        <w:t xml:space="preserve">INFORMD provides executive intelligence briefings, tools and frameworks for UK senior business leaders navigating regulatory change. Based in Milton Keynes, UK, INFORMD helps boards and executive teams stay ahead of regulatory change — not catch up with it.</w:t>
      </w:r>
    </w:p>
    <w:p>
      <w:pPr>
        <w:spacing w:after="160"/>
      </w:pPr>
      <w:r>
        <w:rPr>
          <w:rFonts w:ascii="Arial" w:cs="Arial" w:eastAsia="Arial" w:hAnsi="Arial"/>
          <w:sz w:val="20"/>
          <w:szCs w:val="20"/>
        </w:rPr>
        <w:t xml:space="preserve">Explore our full briefing library: informd.co.uk/resources</w:t>
      </w:r>
    </w:p>
    <w:p>
      <w:pPr>
        <w:spacing w:after="160"/>
      </w:pPr>
      <w:r>
        <w:rPr>
          <w:rFonts w:ascii="Arial" w:cs="Arial" w:eastAsia="Arial" w:hAnsi="Arial"/>
          <w:sz w:val="20"/>
          <w:szCs w:val="20"/>
        </w:rPr>
        <w:t xml:space="preserve">Free assessment tools: informd.co.uk/tools-assessments</w:t>
      </w:r>
    </w:p>
    <w:p>
      <w:pPr>
        <w:spacing w:after="160"/>
      </w:pPr>
      <w:r>
        <w:rPr>
          <w:rFonts w:ascii="Arial" w:cs="Arial" w:eastAsia="Arial" w:hAnsi="Arial"/>
          <w:sz w:val="20"/>
          <w:szCs w:val="20"/>
        </w:rPr>
        <w:t xml:space="preserve"/>
      </w:r>
    </w:p>
    <w:p>
      <w:pPr>
        <w:spacing w:after="160"/>
      </w:pPr>
      <w:r>
        <w:rPr>
          <w:rFonts w:ascii="Arial" w:cs="Arial" w:eastAsia="Arial" w:hAnsi="Arial"/>
          <w:i/>
          <w:iCs/>
          <w:color w:val="666666"/>
          <w:sz w:val="20"/>
          <w:szCs w:val="20"/>
        </w:rPr>
        <w:t xml:space="preserve">This document is provided for informational purposes only. It does not constitute legal advice. Legislation and regulatory rules are subject to change. Always verify current requirements with your legal and compliance advisers.</w:t>
      </w:r>
    </w:p>
    <w:sectPr>
      <w:headerReference w:type="default" r:id="rId9"/>
      <w:footerReference w:type="default" r:id="rId10"/>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rPr>
        <w:rFonts w:ascii="Arial" w:cs="Arial" w:eastAsia="Arial" w:hAnsi="Arial"/>
        <w:color w:val="666666"/>
        <w:sz w:val="16"/>
        <w:szCs w:val="16"/>
      </w:rPr>
      <w:t xml:space="preserve">INFORMD Confidential | informd.co.uk | This document is for professional use only. It does not constitute legal advice.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Remuneration Committee Best Practice 2026</w:t>
    </w:r>
    <w:r>
      <w:rPr>
        <w:rFonts w:ascii="Arial" w:cs="Arial" w:eastAsia="Arial" w:hAnsi="Arial"/>
        <w:color w:val="1A2744"/>
        <w:sz w:val="18"/>
        <w:szCs w:val="18"/>
      </w:rPr>
      <w:t xml:space="preserve">	informd.co.uk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2744" w:sz="6"/>
      </w:pBdr>
      <w:tabs>
        <w:tab w:val="right" w:pos="9638"/>
      </w:tabs>
    </w:pPr>
    <w:r>
      <w:rPr>
        <w:rFonts w:ascii="Arial" w:cs="Arial" w:eastAsia="Arial" w:hAnsi="Arial"/>
        <w:b/>
        <w:bCs/>
        <w:color w:val="1A2744"/>
        <w:sz w:val="18"/>
        <w:szCs w:val="18"/>
      </w:rPr>
      <w:t xml:space="preserve">INFORMD | Remuneration Committee Best Practice 2026</w:t>
    </w:r>
    <w:r>
      <w:rPr>
        <w:rFonts w:ascii="Arial" w:cs="Arial" w:eastAsia="Arial" w:hAnsi="Arial"/>
        <w:color w:val="1A2744"/>
        <w:sz w:val="18"/>
        <w:szCs w:val="18"/>
      </w:rPr>
      <w:t xml:space="preserve">	informd.co.uk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color w:val="1A2744"/>
      <w:sz w:val="32"/>
      <w:szCs w:val="32"/>
    </w:rPr>
  </w:style>
  <w:style w:type="paragraph" w:styleId="Heading2">
    <w:name w:val="Heading 2"/>
    <w:basedOn w:val="Normal"/>
    <w:next w:val="Normal"/>
    <w:qFormat/>
    <w:pPr>
      <w:spacing w:after="180" w:before="180"/>
      <w:outlineLvl w:val="1"/>
    </w:pPr>
    <w:rPr>
      <w:rFonts w:ascii="Arial" w:cs="Arial" w:eastAsia="Arial" w:hAnsi="Arial"/>
      <w:b/>
      <w:bCs/>
      <w:color w:val="1A274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2026-07-02T22:31:46.746Z</dcterms:created>
  <dcterms:modified xsi:type="dcterms:W3CDTF">2026-07-02T22:31:46.746Z</dcterms:modified>
</cp:coreProperties>
</file>

<file path=docProps/custom.xml><?xml version="1.0" encoding="utf-8"?>
<Properties xmlns="http://schemas.openxmlformats.org/officeDocument/2006/custom-properties" xmlns:vt="http://schemas.openxmlformats.org/officeDocument/2006/docPropsVTypes"/>
</file>