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800"/>
      </w:pPr>
      <w:r>
        <w:rPr>
          <w:rFonts w:ascii="Arial" w:cs="Arial" w:eastAsia="Arial" w:hAnsi="Arial"/>
          <w:b/>
          <w:bCs/>
          <w:color w:val="1A2744"/>
          <w:sz w:val="48"/>
          <w:szCs w:val="48"/>
        </w:rPr>
        <w:t xml:space="preserve">INFORMD</w:t>
      </w:r>
    </w:p>
    <w:p>
      <w:pPr>
        <w:spacing w:after="600" w:before="0"/>
      </w:pPr>
      <w:r>
        <w:rPr>
          <w:rFonts w:ascii="Arial" w:cs="Arial" w:eastAsia="Arial" w:hAnsi="Arial"/>
          <w:color w:val="555555"/>
          <w:sz w:val="22"/>
          <w:szCs w:val="22"/>
        </w:rPr>
        <w:t xml:space="preserve">Executive Intelligence for UK Senior Leaders  |  informd.co.uk</w:t>
      </w:r>
    </w:p>
    <w:p>
      <w:pPr>
        <w:pBdr>
          <w:top w:val="single" w:color="1A2744" w:sz="6"/>
        </w:pBdr>
        <w:spacing w:after="300" w:before="600"/>
      </w:pPr>
      <w:r>
        <w:rPr>
          <w:rFonts w:ascii="Arial" w:cs="Arial" w:eastAsia="Arial" w:hAnsi="Arial"/>
          <w:b/>
          <w:bCs/>
          <w:color w:val="1A2744"/>
          <w:sz w:val="52"/>
          <w:szCs w:val="52"/>
        </w:rPr>
        <w:t xml:space="preserve">FCA Non-Financial Misconduct:</w:t>
      </w:r>
    </w:p>
    <w:p>
      <w:pPr>
        <w:spacing w:after="200" w:before="100"/>
      </w:pPr>
      <w:r>
        <w:rPr>
          <w:rFonts w:ascii="Arial" w:cs="Arial" w:eastAsia="Arial" w:hAnsi="Arial"/>
          <w:b/>
          <w:bCs/>
          <w:color w:val="1A2744"/>
          <w:sz w:val="52"/>
          <w:szCs w:val="52"/>
        </w:rPr>
        <w:t xml:space="preserve">Board Policy Pack</w:t>
      </w:r>
    </w:p>
    <w:p>
      <w:pPr>
        <w:spacing w:after="600" w:before="200"/>
      </w:pPr>
      <w:r>
        <w:rPr>
          <w:rFonts w:ascii="Arial" w:cs="Arial" w:eastAsia="Arial" w:hAnsi="Arial"/>
          <w:color w:val="444444"/>
          <w:sz w:val="28"/>
          <w:szCs w:val="28"/>
        </w:rPr>
        <w:t xml:space="preserve">September 2026 Compliance Deadline — What Every FCA/PRA-Regulated Board Must Do Now</w:t>
      </w:r>
    </w:p>
    <w:p>
      <w:pPr>
        <w:spacing w:after="100" w:before="600"/>
      </w:pPr>
      <w:r>
        <w:rPr>
          <w:rFonts w:ascii="Arial" w:cs="Arial" w:eastAsia="Arial" w:hAnsi="Arial"/>
          <w:color w:val="666666"/>
          <w:sz w:val="22"/>
          <w:szCs w:val="22"/>
        </w:rPr>
        <w:t xml:space="preserve">July 2026</w:t>
      </w:r>
    </w:p>
    <w:p>
      <w:pPr>
        <w:spacing w:after="60" w:before="60"/>
      </w:pPr>
      <w:r>
        <w:rPr>
          <w:rFonts w:ascii="Arial" w:cs="Arial" w:eastAsia="Arial" w:hAnsi="Arial"/>
          <w:i/>
          <w:iCs/>
          <w:color w:val="888888"/>
          <w:sz w:val="20"/>
          <w:szCs w:val="20"/>
        </w:rPr>
        <w:t xml:space="preserve">For: NEDs | Audit Committee Chairs | General Counsel | Company Secretaries</w:t>
      </w:r>
    </w:p>
    <w:p>
      <w:pPr>
        <w:pBdr>
          <w:top w:val="single" w:color="D0D5DD" w:sz="2"/>
        </w:pBdr>
        <w:spacing w:after="0" w:before="2400"/>
      </w:pPr>
      <w:r>
        <w:rPr>
          <w:rFonts w:ascii="Arial" w:cs="Arial" w:eastAsia="Arial" w:hAnsi="Arial"/>
          <w:color w:val="888888"/>
          <w:sz w:val="16"/>
          <w:szCs w:val="16"/>
        </w:rPr>
        <w:t xml:space="preserve">INFORMD Confidential  |  informd.co.uk  |  This document is for professional use only. It does not constitute legal advice.</w:t>
      </w:r>
    </w:p>
    <w:p>
      <w:pPr>
        <w:sectPr>
          <w:pgSz w:w="11906" w:h="16838" w:orient="portrait"/>
          <w:pgMar w:top="1134" w:right="1134" w:bottom="1134" w:left="1134" w:header="708" w:footer="708" w:gutter="0"/>
          <w:pgNumType/>
          <w:docGrid w:linePitch="360"/>
        </w:sectPr>
      </w:pPr>
    </w:p>
    <w:p>
      <w:pPr>
        <w:spacing w:after="200" w:before="0"/>
      </w:pPr>
      <w:r>
        <w:rPr>
          <w:rFonts w:ascii="Arial" w:cs="Arial" w:eastAsia="Arial" w:hAnsi="Arial"/>
          <w:b/>
          <w:bCs/>
          <w:color w:val="1A2744"/>
          <w:sz w:val="32"/>
          <w:szCs w:val="32"/>
        </w:rPr>
        <w:t xml:space="preserve">Contents</w:t>
      </w:r>
    </w:p>
    <w:sdt>
      <w:sdtPr/>
      <w:sdtContent>
        <w:p>
          <w:r>
            <w:fldChar w:fldCharType="begin" w:dirty="true"/>
            <w:instrText xml:space="preserve">TOC \h \o "1-2"</w:instrText>
            <w:fldChar w:fldCharType="separate"/>
          </w:r>
        </w:p>
        <w:p>
          <w:r>
            <w:fldChar w:fldCharType="end"/>
          </w:r>
        </w:p>
      </w:sdtContent>
    </w:sdt>
    <w:p>
      <w:r>
        <w:br w:type="page"/>
      </w:r>
    </w:p>
    <w:p>
      <w:pPr>
        <w:pStyle w:val="Heading1"/>
        <w:pageBreakBefore/>
        <w:spacing w:after="200" w:before="240"/>
      </w:pPr>
      <w:r>
        <w:rPr>
          <w:rFonts w:ascii="Arial" w:cs="Arial" w:eastAsia="Arial" w:hAnsi="Arial"/>
          <w:b/>
          <w:bCs/>
          <w:color w:val="1A2744"/>
          <w:sz w:val="32"/>
          <w:szCs w:val="32"/>
        </w:rPr>
        <w:t xml:space="preserve">1. Executive Summary</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1A2744" w:sz="4"/>
              <w:left w:val="single" w:color="1A2744" w:sz="4"/>
              <w:bottom w:val="single" w:color="1A2744" w:sz="4"/>
              <w:right w:val="single" w:color="1A2744" w:sz="4"/>
            </w:tcBorders>
            <w:shd w:fill="F2F4F7" w:val="clear"/>
            <w:tcMar>
              <w:top w:type="dxa" w:w="160"/>
              <w:left w:type="dxa" w:w="240"/>
              <w:bottom w:type="dxa" w:w="160"/>
              <w:right w:type="dxa" w:w="240"/>
            </w:tcMar>
          </w:tcPr>
          <w:p>
            <w:pPr>
              <w:spacing w:after="80" w:before="0"/>
            </w:pPr>
            <w:r>
              <w:rPr>
                <w:rFonts w:ascii="Arial" w:cs="Arial" w:eastAsia="Arial" w:hAnsi="Arial"/>
                <w:b/>
                <w:bCs/>
                <w:color w:val="1A2744"/>
                <w:sz w:val="22"/>
                <w:szCs w:val="22"/>
              </w:rPr>
              <w:t xml:space="preserve">Key Deadline: 1 September 2026</w:t>
            </w:r>
          </w:p>
          <w:p>
            <w:pPr>
              <w:spacing w:after="0" w:before="0"/>
            </w:pPr>
            <w:r>
              <w:rPr>
                <w:rFonts w:ascii="Arial" w:cs="Arial" w:eastAsia="Arial" w:hAnsi="Arial"/>
                <w:sz w:val="22"/>
                <w:szCs w:val="22"/>
              </w:rPr>
              <w:t xml:space="preserve">FCA and PRA rules formally expanding Fit and Proper requirements to cover non-financial misconduct take effect on this date. Action is required before this deadline.</w:t>
            </w:r>
          </w:p>
        </w:tc>
      </w:tr>
    </w:tbl>
    <w:p>
      <w:pPr>
        <w:spacing w:after="100" w:before="100"/>
      </w:pPr>
      <w:r>
        <w:t xml:space="preserve"/>
      </w:r>
    </w:p>
    <w:p>
      <w:pPr>
        <w:spacing w:after="80" w:before="80"/>
      </w:pPr>
      <w:r>
        <w:rPr>
          <w:rFonts w:ascii="Arial" w:cs="Arial" w:eastAsia="Arial" w:hAnsi="Arial"/>
          <w:sz w:val="22"/>
          <w:szCs w:val="22"/>
        </w:rPr>
        <w:t xml:space="preserve">On 1 September 2026, the FCA's expanded rules on non-financial misconduct (NFM) formally take effect. These rules — finalised in Policy Statement PS23/4 and aligned with PRA expectations — require FCA and PRA-regulated firms to treat serious non-financial misconduct as a relevant consideration in Fit and Proper (F&amp;P) assessments of Senior Managers, Certified Persons, and other SMCR-in-scope individuals.</w:t>
      </w:r>
    </w:p>
    <w:p>
      <w:pPr>
        <w:spacing w:after="100" w:before="100"/>
      </w:pPr>
      <w:r>
        <w:t xml:space="preserve"/>
      </w:r>
    </w:p>
    <w:p>
      <w:pPr>
        <w:spacing w:after="80" w:before="80"/>
      </w:pPr>
      <w:r>
        <w:rPr>
          <w:rFonts w:ascii="Arial" w:cs="Arial" w:eastAsia="Arial" w:hAnsi="Arial"/>
          <w:sz w:val="22"/>
          <w:szCs w:val="22"/>
        </w:rPr>
        <w:t xml:space="preserve">Non-financial misconduct includes bullying, harassment, discrimination, victimisation, and other serious adverse workplace behaviour. It is not a new concept in financial services culture — but from September 2026, it becomes a formal, documented regulatory obligation with direct consequences for individual fitness and propriety status, regulatory references, and firm-level supervisory relationships.</w:t>
      </w:r>
    </w:p>
    <w:p>
      <w:pPr>
        <w:spacing w:after="100" w:before="100"/>
      </w:pPr>
      <w:r>
        <w:t xml:space="preserve"/>
      </w:r>
    </w:p>
    <w:p>
      <w:pPr>
        <w:spacing w:after="80" w:before="80"/>
      </w:pPr>
      <w:r>
        <w:rPr>
          <w:rFonts w:ascii="Arial" w:cs="Arial" w:eastAsia="Arial" w:hAnsi="Arial"/>
          <w:sz w:val="22"/>
          <w:szCs w:val="22"/>
        </w:rPr>
        <w:t xml:space="preserve">This is not aspirational guidance. The FCA has explicitly stated that NFM can and will affect its assessment of whether an individual is fit and proper to hold a Senior Manager Function. Boards that have not reviewed their NFM policies, escalation frameworks, and F&amp;P processes before 1 September 2026 face supervisory and reputational risk.</w:t>
      </w:r>
    </w:p>
    <w:p>
      <w:pPr>
        <w:spacing w:after="100" w:before="100"/>
      </w:pPr>
      <w:r>
        <w:t xml:space="preserve"/>
      </w:r>
    </w:p>
    <w:p>
      <w:pPr>
        <w:pStyle w:val="Heading2"/>
        <w:spacing w:after="120" w:before="200"/>
      </w:pPr>
      <w:r>
        <w:rPr>
          <w:rFonts w:ascii="Arial" w:cs="Arial" w:eastAsia="Arial" w:hAnsi="Arial"/>
          <w:b/>
          <w:bCs/>
          <w:color w:val="1A2744"/>
          <w:sz w:val="26"/>
          <w:szCs w:val="26"/>
        </w:rPr>
        <w:t xml:space="preserve">Three Immediate Board Actions</w:t>
      </w:r>
    </w:p>
    <w:p>
      <w:pPr>
        <w:pStyle w:val="ListParagraph"/>
        <w:numPr>
          <w:ilvl w:val="0"/>
          <w:numId w:val="2"/>
        </w:numPr>
        <w:spacing w:after="60" w:before="60"/>
      </w:pPr>
      <w:r>
        <w:rPr>
          <w:rFonts w:ascii="Arial" w:cs="Arial" w:eastAsia="Arial" w:hAnsi="Arial"/>
          <w:sz w:val="22"/>
          <w:szCs w:val="22"/>
        </w:rPr>
        <w:t xml:space="preserve">Confirm that an NFM policy exists, has been reviewed against FCA PS23/4, and has been approved at board level within the last 12 months.</w:t>
      </w:r>
    </w:p>
    <w:p>
      <w:pPr>
        <w:pStyle w:val="ListParagraph"/>
        <w:numPr>
          <w:ilvl w:val="0"/>
          <w:numId w:val="2"/>
        </w:numPr>
        <w:spacing w:after="60" w:before="60"/>
      </w:pPr>
      <w:r>
        <w:rPr>
          <w:rFonts w:ascii="Arial" w:cs="Arial" w:eastAsia="Arial" w:hAnsi="Arial"/>
          <w:sz w:val="22"/>
          <w:szCs w:val="22"/>
        </w:rPr>
        <w:t xml:space="preserve">Verify that the annual Fit and Proper assessment process for SMF holders and Certified Persons explicitly incorporates NFM considerations.</w:t>
      </w:r>
    </w:p>
    <w:p>
      <w:pPr>
        <w:pStyle w:val="ListParagraph"/>
        <w:numPr>
          <w:ilvl w:val="0"/>
          <w:numId w:val="2"/>
        </w:numPr>
        <w:spacing w:after="60" w:before="60"/>
      </w:pPr>
      <w:r>
        <w:rPr>
          <w:rFonts w:ascii="Arial" w:cs="Arial" w:eastAsia="Arial" w:hAnsi="Arial"/>
          <w:sz w:val="22"/>
          <w:szCs w:val="22"/>
        </w:rPr>
        <w:t xml:space="preserve">Ensure a confidential NFM reporting and escalation channel is operational and that the board receives regular data on NFM reports and outcomes.</w:t>
      </w:r>
    </w:p>
    <w:p>
      <w:pPr>
        <w:pStyle w:val="Heading1"/>
        <w:pageBreakBefore/>
        <w:spacing w:after="200" w:before="240"/>
      </w:pPr>
      <w:r>
        <w:rPr>
          <w:rFonts w:ascii="Arial" w:cs="Arial" w:eastAsia="Arial" w:hAnsi="Arial"/>
          <w:b/>
          <w:bCs/>
          <w:color w:val="1A2744"/>
          <w:sz w:val="32"/>
          <w:szCs w:val="32"/>
        </w:rPr>
        <w:t xml:space="preserve">2. Regulatory Background</w:t>
      </w:r>
    </w:p>
    <w:p>
      <w:pPr>
        <w:pStyle w:val="Heading2"/>
        <w:spacing w:after="120" w:before="200"/>
      </w:pPr>
      <w:r>
        <w:rPr>
          <w:rFonts w:ascii="Arial" w:cs="Arial" w:eastAsia="Arial" w:hAnsi="Arial"/>
          <w:b/>
          <w:bCs/>
          <w:color w:val="1A2744"/>
          <w:sz w:val="26"/>
          <w:szCs w:val="26"/>
        </w:rPr>
        <w:t xml:space="preserve">What is Non-Financial Misconduct?</w:t>
      </w:r>
    </w:p>
    <w:p>
      <w:pPr>
        <w:spacing w:after="80" w:before="80"/>
      </w:pPr>
      <w:r>
        <w:rPr>
          <w:rFonts w:ascii="Arial" w:cs="Arial" w:eastAsia="Arial" w:hAnsi="Arial"/>
          <w:sz w:val="22"/>
          <w:szCs w:val="22"/>
        </w:rPr>
        <w:t xml:space="preserve">Under the FCA's framework, non-financial misconduct encompasses serious adverse personal conduct in a workplace context that is unrelated to financial crime or market integrity but reflects on an individual's character and fitness. The FCA's finalised guidance identifies the following categories as relevant to fitness and propriety assessments:</w:t>
      </w:r>
    </w:p>
    <w:p>
      <w:pPr>
        <w:pStyle w:val="ListParagraph"/>
        <w:numPr>
          <w:ilvl w:val="0"/>
          <w:numId w:val="2"/>
        </w:numPr>
        <w:spacing w:after="60" w:before="60"/>
      </w:pPr>
      <w:r>
        <w:rPr>
          <w:rFonts w:ascii="Arial" w:cs="Arial" w:eastAsia="Arial" w:hAnsi="Arial"/>
          <w:sz w:val="22"/>
          <w:szCs w:val="22"/>
        </w:rPr>
        <w:t xml:space="preserve">Bullying and intimidation</w:t>
      </w:r>
    </w:p>
    <w:p>
      <w:pPr>
        <w:pStyle w:val="ListParagraph"/>
        <w:numPr>
          <w:ilvl w:val="0"/>
          <w:numId w:val="2"/>
        </w:numPr>
        <w:spacing w:after="60" w:before="60"/>
      </w:pPr>
      <w:r>
        <w:rPr>
          <w:rFonts w:ascii="Arial" w:cs="Arial" w:eastAsia="Arial" w:hAnsi="Arial"/>
          <w:sz w:val="22"/>
          <w:szCs w:val="22"/>
        </w:rPr>
        <w:t xml:space="preserve">Sexual harassment and gender-based discrimination</w:t>
      </w:r>
    </w:p>
    <w:p>
      <w:pPr>
        <w:pStyle w:val="ListParagraph"/>
        <w:numPr>
          <w:ilvl w:val="0"/>
          <w:numId w:val="2"/>
        </w:numPr>
        <w:spacing w:after="60" w:before="60"/>
      </w:pPr>
      <w:r>
        <w:rPr>
          <w:rFonts w:ascii="Arial" w:cs="Arial" w:eastAsia="Arial" w:hAnsi="Arial"/>
          <w:sz w:val="22"/>
          <w:szCs w:val="22"/>
        </w:rPr>
        <w:t xml:space="preserve">Racial, religious, or other protected-characteristic discrimination</w:t>
      </w:r>
    </w:p>
    <w:p>
      <w:pPr>
        <w:pStyle w:val="ListParagraph"/>
        <w:numPr>
          <w:ilvl w:val="0"/>
          <w:numId w:val="2"/>
        </w:numPr>
        <w:spacing w:after="60" w:before="60"/>
      </w:pPr>
      <w:r>
        <w:rPr>
          <w:rFonts w:ascii="Arial" w:cs="Arial" w:eastAsia="Arial" w:hAnsi="Arial"/>
          <w:sz w:val="22"/>
          <w:szCs w:val="22"/>
        </w:rPr>
        <w:t xml:space="preserve">Victimisation of those who raise concerns</w:t>
      </w:r>
    </w:p>
    <w:p>
      <w:pPr>
        <w:pStyle w:val="ListParagraph"/>
        <w:numPr>
          <w:ilvl w:val="0"/>
          <w:numId w:val="2"/>
        </w:numPr>
        <w:spacing w:after="60" w:before="60"/>
      </w:pPr>
      <w:r>
        <w:rPr>
          <w:rFonts w:ascii="Arial" w:cs="Arial" w:eastAsia="Arial" w:hAnsi="Arial"/>
          <w:sz w:val="22"/>
          <w:szCs w:val="22"/>
        </w:rPr>
        <w:t xml:space="preserve">Serious abuses of authority or power in workplace relationships</w:t>
      </w:r>
    </w:p>
    <w:p>
      <w:pPr>
        <w:spacing w:after="100" w:before="100"/>
      </w:pPr>
      <w:r>
        <w:t xml:space="preserve"/>
      </w:r>
    </w:p>
    <w:p>
      <w:pPr>
        <w:spacing w:after="80" w:before="80"/>
      </w:pPr>
      <w:r>
        <w:rPr>
          <w:rFonts w:ascii="Arial" w:cs="Arial" w:eastAsia="Arial" w:hAnsi="Arial"/>
          <w:sz w:val="22"/>
          <w:szCs w:val="22"/>
        </w:rPr>
        <w:t xml:space="preserve">Importantly, NFM is not limited to conduct within the firm. Conduct outside the workplace that reflects on an individual's character — including conduct at firm events, industry events, or in a personal capacity where the individual is acting in a role connected to the firm — can also be relevant.</w:t>
      </w:r>
    </w:p>
    <w:p>
      <w:pPr>
        <w:spacing w:after="100" w:before="100"/>
      </w:pPr>
      <w:r>
        <w:t xml:space="preserve"/>
      </w:r>
    </w:p>
    <w:p>
      <w:pPr>
        <w:pStyle w:val="Heading2"/>
        <w:spacing w:after="120" w:before="200"/>
      </w:pPr>
      <w:r>
        <w:rPr>
          <w:rFonts w:ascii="Arial" w:cs="Arial" w:eastAsia="Arial" w:hAnsi="Arial"/>
          <w:b/>
          <w:bCs/>
          <w:color w:val="1A2744"/>
          <w:sz w:val="26"/>
          <w:szCs w:val="26"/>
        </w:rPr>
        <w:t xml:space="preserve">The SMCR Connection</w:t>
      </w:r>
    </w:p>
    <w:p>
      <w:pPr>
        <w:spacing w:after="80" w:before="80"/>
      </w:pPr>
      <w:r>
        <w:rPr>
          <w:rFonts w:ascii="Arial" w:cs="Arial" w:eastAsia="Arial" w:hAnsi="Arial"/>
          <w:sz w:val="22"/>
          <w:szCs w:val="22"/>
        </w:rPr>
        <w:t xml:space="preserve">The Senior Managers and Certification Regime (SMCR) places personal accountability obligations on named individuals holding Senior Manager Functions (SMFs). The Fit and Proper test, set out in the FCA's FIT sourcebook, requires firms to assess whether individuals are honest, have integrity, and are competent.</w:t>
      </w:r>
    </w:p>
    <w:p>
      <w:pPr>
        <w:spacing w:after="100" w:before="100"/>
      </w:pPr>
      <w:r>
        <w:t xml:space="preserve"/>
      </w:r>
    </w:p>
    <w:p>
      <w:pPr>
        <w:spacing w:after="80" w:before="80"/>
      </w:pPr>
      <w:r>
        <w:rPr>
          <w:rFonts w:ascii="Arial" w:cs="Arial" w:eastAsia="Arial" w:hAnsi="Arial"/>
          <w:sz w:val="22"/>
          <w:szCs w:val="22"/>
        </w:rPr>
        <w:t xml:space="preserve">PS23/4 confirms that serious non-financial misconduct is relevant to the honesty and integrity limb of the F&amp;P test. This means:</w:t>
      </w:r>
    </w:p>
    <w:p>
      <w:pPr>
        <w:pStyle w:val="ListParagraph"/>
        <w:numPr>
          <w:ilvl w:val="0"/>
          <w:numId w:val="2"/>
        </w:numPr>
        <w:spacing w:after="60" w:before="60"/>
      </w:pPr>
      <w:r>
        <w:rPr>
          <w:rFonts w:ascii="Arial" w:cs="Arial" w:eastAsia="Arial" w:hAnsi="Arial"/>
          <w:sz w:val="22"/>
          <w:szCs w:val="22"/>
        </w:rPr>
        <w:t xml:space="preserve">A finding of serious NFM can render an individual not fit and proper to hold their SMF.</w:t>
      </w:r>
    </w:p>
    <w:p>
      <w:pPr>
        <w:pStyle w:val="ListParagraph"/>
        <w:numPr>
          <w:ilvl w:val="0"/>
          <w:numId w:val="2"/>
        </w:numPr>
        <w:spacing w:after="60" w:before="60"/>
      </w:pPr>
      <w:r>
        <w:rPr>
          <w:rFonts w:ascii="Arial" w:cs="Arial" w:eastAsia="Arial" w:hAnsi="Arial"/>
          <w:sz w:val="22"/>
          <w:szCs w:val="22"/>
        </w:rPr>
        <w:t xml:space="preserve">Firms must document how NFM is considered in their annual Fit and Proper certification cycle.</w:t>
      </w:r>
    </w:p>
    <w:p>
      <w:pPr>
        <w:pStyle w:val="ListParagraph"/>
        <w:numPr>
          <w:ilvl w:val="0"/>
          <w:numId w:val="2"/>
        </w:numPr>
        <w:spacing w:after="60" w:before="60"/>
      </w:pPr>
      <w:r>
        <w:rPr>
          <w:rFonts w:ascii="Arial" w:cs="Arial" w:eastAsia="Arial" w:hAnsi="Arial"/>
          <w:sz w:val="22"/>
          <w:szCs w:val="22"/>
        </w:rPr>
        <w:t xml:space="preserve">Regulatory references under section 63ZA of FSMA 2000 must include information about serious NFM where it has resulted in disciplinary action.</w:t>
      </w:r>
    </w:p>
    <w:p>
      <w:pPr>
        <w:spacing w:after="100" w:before="100"/>
      </w:pPr>
      <w:r>
        <w:t xml:space="preserve"/>
      </w:r>
    </w:p>
    <w:p>
      <w:pPr>
        <w:pStyle w:val="Heading2"/>
        <w:spacing w:after="120" w:before="200"/>
      </w:pPr>
      <w:r>
        <w:rPr>
          <w:rFonts w:ascii="Arial" w:cs="Arial" w:eastAsia="Arial" w:hAnsi="Arial"/>
          <w:b/>
          <w:bCs/>
          <w:color w:val="1A2744"/>
          <w:sz w:val="26"/>
          <w:szCs w:val="26"/>
        </w:rPr>
        <w:t xml:space="preserve">PRA Alignment</w:t>
      </w:r>
    </w:p>
    <w:p>
      <w:pPr>
        <w:spacing w:after="80" w:before="80"/>
      </w:pPr>
      <w:r>
        <w:rPr>
          <w:rFonts w:ascii="Arial" w:cs="Arial" w:eastAsia="Arial" w:hAnsi="Arial"/>
          <w:sz w:val="22"/>
          <w:szCs w:val="22"/>
        </w:rPr>
        <w:t xml:space="preserve">The PRA's equivalent expectations are set out in Supervisory Statement SS28/15 (Fitness and Propriety). The PRA expects dual-regulated firms to apply equivalent standards on NFM under its own SMCR framework. Boards of dual-regulated firms must ensure their NFM policies and F&amp;P processes satisfy both FCA and PRA expectations simultaneously.</w:t>
      </w:r>
    </w:p>
    <w:p>
      <w:pPr>
        <w:spacing w:after="100" w:before="100"/>
      </w:pPr>
      <w:r>
        <w:t xml:space="preserve"/>
      </w:r>
    </w:p>
    <w:p>
      <w:pPr>
        <w:pStyle w:val="Heading2"/>
        <w:spacing w:after="120" w:before="200"/>
      </w:pPr>
      <w:r>
        <w:rPr>
          <w:rFonts w:ascii="Arial" w:cs="Arial" w:eastAsia="Arial" w:hAnsi="Arial"/>
          <w:b/>
          <w:bCs/>
          <w:color w:val="1A2744"/>
          <w:sz w:val="26"/>
          <w:szCs w:val="26"/>
        </w:rPr>
        <w:t xml:space="preserve">Regulatory Timeline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200"/>
        <w:gridCol w:w="7400"/>
      </w:tblGrid>
      <w:tr>
        <w:trPr>
          <w:tblHeader/>
        </w:trPr>
        <w:tc>
          <w:tcPr>
            <w:tcW w:type="dxa" w:w="2200"/>
            <w:tcBorders>
              <w:top w:val="single" w:color="D0D5DD" w:sz="1"/>
              <w:left w:val="single" w:color="D0D5DD" w:sz="1"/>
              <w:bottom w:val="single" w:color="D0D5DD" w:sz="1"/>
              <w:right w:val="single" w:color="D0D5DD" w:sz="1"/>
            </w:tcBorders>
            <w:shd w:fill="1A2744" w:val="clear"/>
            <w:tcMar>
              <w:top w:type="dxa" w:w="80"/>
              <w:left w:type="dxa" w:w="120"/>
              <w:bottom w:type="dxa" w:w="80"/>
              <w:right w:type="dxa" w:w="120"/>
            </w:tcMar>
          </w:tcPr>
          <w:p>
            <w:r>
              <w:rPr>
                <w:rFonts w:ascii="Arial" w:cs="Arial" w:eastAsia="Arial" w:hAnsi="Arial"/>
                <w:b/>
                <w:bCs/>
                <w:color w:val="FFFFFF"/>
                <w:sz w:val="20"/>
                <w:szCs w:val="20"/>
              </w:rPr>
              <w:t xml:space="preserve">Date</w:t>
            </w:r>
          </w:p>
        </w:tc>
        <w:tc>
          <w:tcPr>
            <w:tcW w:type="dxa" w:w="7400"/>
            <w:tcBorders>
              <w:top w:val="single" w:color="D0D5DD" w:sz="1"/>
              <w:left w:val="single" w:color="D0D5DD" w:sz="1"/>
              <w:bottom w:val="single" w:color="D0D5DD" w:sz="1"/>
              <w:right w:val="single" w:color="D0D5DD" w:sz="1"/>
            </w:tcBorders>
            <w:shd w:fill="1A2744" w:val="clear"/>
            <w:tcMar>
              <w:top w:type="dxa" w:w="80"/>
              <w:left w:type="dxa" w:w="120"/>
              <w:bottom w:type="dxa" w:w="80"/>
              <w:right w:type="dxa" w:w="120"/>
            </w:tcMar>
          </w:tcPr>
          <w:p>
            <w:r>
              <w:rPr>
                <w:rFonts w:ascii="Arial" w:cs="Arial" w:eastAsia="Arial" w:hAnsi="Arial"/>
                <w:b/>
                <w:bCs/>
                <w:color w:val="FFFFFF"/>
                <w:sz w:val="20"/>
                <w:szCs w:val="20"/>
              </w:rPr>
              <w:t xml:space="preserve">Event</w:t>
            </w:r>
          </w:p>
        </w:tc>
      </w:tr>
      <w:tr>
        <w:tc>
          <w:tcPr>
            <w:tcW w:type="dxa" w:w="30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b/>
                <w:bCs/>
                <w:sz w:val="20"/>
                <w:szCs w:val="20"/>
              </w:rPr>
              <w:t xml:space="preserve">2023</w:t>
            </w:r>
          </w:p>
        </w:tc>
        <w:tc>
          <w:tcPr>
            <w:tcW w:type="dxa" w:w="66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sz w:val="20"/>
                <w:szCs w:val="20"/>
              </w:rPr>
              <w:t xml:space="preserve">FCA publishes CP23/20: Consultation on non-financial misconduct and diversity and inclusion in financial services</w:t>
            </w:r>
          </w:p>
        </w:tc>
      </w:tr>
      <w:tr>
        <w:tc>
          <w:tcPr>
            <w:tcW w:type="dxa" w:w="30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b/>
                <w:bCs/>
                <w:sz w:val="20"/>
                <w:szCs w:val="20"/>
              </w:rPr>
              <w:t xml:space="preserve">2023</w:t>
            </w:r>
          </w:p>
        </w:tc>
        <w:tc>
          <w:tcPr>
            <w:tcW w:type="dxa" w:w="66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sz w:val="20"/>
                <w:szCs w:val="20"/>
              </w:rPr>
              <w:t xml:space="preserve">FCA publishes Dear CEO letter reinforcing expectations on NFM and firm culture</w:t>
            </w:r>
          </w:p>
        </w:tc>
      </w:tr>
      <w:tr>
        <w:tc>
          <w:tcPr>
            <w:tcW w:type="dxa" w:w="30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b/>
                <w:bCs/>
                <w:sz w:val="20"/>
                <w:szCs w:val="20"/>
              </w:rPr>
              <w:t xml:space="preserve">September 2023</w:t>
            </w:r>
          </w:p>
        </w:tc>
        <w:tc>
          <w:tcPr>
            <w:tcW w:type="dxa" w:w="66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sz w:val="20"/>
                <w:szCs w:val="20"/>
              </w:rPr>
              <w:t xml:space="preserve">FCA publishes PS23/4: Policy Statement finalising NFM rules and confirming inclusion in Fit and Proper framework</w:t>
            </w:r>
          </w:p>
        </w:tc>
      </w:tr>
      <w:tr>
        <w:tc>
          <w:tcPr>
            <w:tcW w:type="dxa" w:w="30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b/>
                <w:bCs/>
                <w:sz w:val="20"/>
                <w:szCs w:val="20"/>
              </w:rPr>
              <w:t xml:space="preserve">2024–2025</w:t>
            </w:r>
          </w:p>
        </w:tc>
        <w:tc>
          <w:tcPr>
            <w:tcW w:type="dxa" w:w="66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sz w:val="20"/>
                <w:szCs w:val="20"/>
              </w:rPr>
              <w:t xml:space="preserve">FCA supervisory engagement on firm culture and NFM frameworks; enforcement actions involving personal conduct</w:t>
            </w:r>
          </w:p>
        </w:tc>
      </w:tr>
      <w:tr>
        <w:tc>
          <w:tcPr>
            <w:tcW w:type="dxa" w:w="30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b/>
                <w:bCs/>
                <w:sz w:val="20"/>
                <w:szCs w:val="20"/>
              </w:rPr>
              <w:t xml:space="preserve">1 September 2026</w:t>
            </w:r>
          </w:p>
        </w:tc>
        <w:tc>
          <w:tcPr>
            <w:tcW w:type="dxa" w:w="66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sz w:val="20"/>
                <w:szCs w:val="20"/>
              </w:rPr>
              <w:t xml:space="preserve">NFM rules formally in effect — Fit and Proper assessments must explicitly incorporate NFM criteria</w:t>
            </w:r>
          </w:p>
        </w:tc>
      </w:tr>
    </w:tbl>
    <w:p>
      <w:pPr>
        <w:pStyle w:val="Heading1"/>
        <w:pageBreakBefore/>
        <w:spacing w:after="200" w:before="240"/>
      </w:pPr>
      <w:r>
        <w:rPr>
          <w:rFonts w:ascii="Arial" w:cs="Arial" w:eastAsia="Arial" w:hAnsi="Arial"/>
          <w:b/>
          <w:bCs/>
          <w:color w:val="1A2744"/>
          <w:sz w:val="32"/>
          <w:szCs w:val="32"/>
        </w:rPr>
        <w:t xml:space="preserve">3. What Changes on 1 September 2026</w:t>
      </w:r>
    </w:p>
    <w:p>
      <w:pPr>
        <w:pStyle w:val="Heading2"/>
        <w:spacing w:after="120" w:before="200"/>
      </w:pPr>
      <w:r>
        <w:rPr>
          <w:rFonts w:ascii="Arial" w:cs="Arial" w:eastAsia="Arial" w:hAnsi="Arial"/>
          <w:b/>
          <w:bCs/>
          <w:color w:val="1A2744"/>
          <w:sz w:val="26"/>
          <w:szCs w:val="26"/>
        </w:rPr>
        <w:t xml:space="preserve">Fit and Proper Assessment</w:t>
      </w:r>
    </w:p>
    <w:p>
      <w:pPr>
        <w:spacing w:after="80" w:before="80"/>
      </w:pPr>
      <w:r>
        <w:rPr>
          <w:rFonts w:ascii="Arial" w:cs="Arial" w:eastAsia="Arial" w:hAnsi="Arial"/>
          <w:sz w:val="22"/>
          <w:szCs w:val="22"/>
        </w:rPr>
        <w:t xml:space="preserve">From 1 September 2026, firms must be able to demonstrate that their annual Fit and Proper assessment process for SMF holders and Certified Persons explicitly considers non-financial misconduct. The FCA's FIT sourcebook is updated to make clear that the honesty and integrity assessment must incorporate NFM history and current conduct standards.</w:t>
      </w:r>
    </w:p>
    <w:p>
      <w:pPr>
        <w:spacing w:after="100" w:before="100"/>
      </w:pPr>
      <w:r>
        <w:t xml:space="preserve"/>
      </w:r>
    </w:p>
    <w:p>
      <w:pPr>
        <w:spacing w:after="80" w:before="80"/>
      </w:pPr>
      <w:r>
        <w:rPr>
          <w:rFonts w:ascii="Arial" w:cs="Arial" w:eastAsia="Arial" w:hAnsi="Arial"/>
          <w:sz w:val="22"/>
          <w:szCs w:val="22"/>
        </w:rPr>
        <w:t xml:space="preserve">In practice, this means:</w:t>
      </w:r>
    </w:p>
    <w:p>
      <w:pPr>
        <w:pStyle w:val="ListParagraph"/>
        <w:numPr>
          <w:ilvl w:val="0"/>
          <w:numId w:val="2"/>
        </w:numPr>
        <w:spacing w:after="60" w:before="60"/>
      </w:pPr>
      <w:r>
        <w:rPr>
          <w:rFonts w:ascii="Arial" w:cs="Arial" w:eastAsia="Arial" w:hAnsi="Arial"/>
          <w:sz w:val="22"/>
          <w:szCs w:val="22"/>
        </w:rPr>
        <w:t xml:space="preserve">F&amp;P assessment questionnaires must include NFM-specific disclosure questions.</w:t>
      </w:r>
    </w:p>
    <w:p>
      <w:pPr>
        <w:pStyle w:val="ListParagraph"/>
        <w:numPr>
          <w:ilvl w:val="0"/>
          <w:numId w:val="2"/>
        </w:numPr>
        <w:spacing w:after="60" w:before="60"/>
      </w:pPr>
      <w:r>
        <w:rPr>
          <w:rFonts w:ascii="Arial" w:cs="Arial" w:eastAsia="Arial" w:hAnsi="Arial"/>
          <w:sz w:val="22"/>
          <w:szCs w:val="22"/>
        </w:rPr>
        <w:t xml:space="preserve">Any NFM findings, investigations, or disciplinary actions in the preceding three years must be documented and evaluated.</w:t>
      </w:r>
    </w:p>
    <w:p>
      <w:pPr>
        <w:pStyle w:val="ListParagraph"/>
        <w:numPr>
          <w:ilvl w:val="0"/>
          <w:numId w:val="2"/>
        </w:numPr>
        <w:spacing w:after="60" w:before="60"/>
      </w:pPr>
      <w:r>
        <w:rPr>
          <w:rFonts w:ascii="Arial" w:cs="Arial" w:eastAsia="Arial" w:hAnsi="Arial"/>
          <w:sz w:val="22"/>
          <w:szCs w:val="22"/>
        </w:rPr>
        <w:t xml:space="preserve">Individuals who have been subject to upheld NFM findings may require enhanced scrutiny or may not meet the F&amp;P standard.</w:t>
      </w:r>
    </w:p>
    <w:p>
      <w:pPr>
        <w:spacing w:after="100" w:before="100"/>
      </w:pPr>
      <w:r>
        <w:t xml:space="preserve"/>
      </w:r>
    </w:p>
    <w:p>
      <w:pPr>
        <w:pStyle w:val="Heading2"/>
        <w:spacing w:after="120" w:before="200"/>
      </w:pPr>
      <w:r>
        <w:rPr>
          <w:rFonts w:ascii="Arial" w:cs="Arial" w:eastAsia="Arial" w:hAnsi="Arial"/>
          <w:b/>
          <w:bCs/>
          <w:color w:val="1A2744"/>
          <w:sz w:val="26"/>
          <w:szCs w:val="26"/>
        </w:rPr>
        <w:t xml:space="preserve">Board-Level Culture Obligation</w:t>
      </w:r>
    </w:p>
    <w:p>
      <w:pPr>
        <w:spacing w:after="80" w:before="80"/>
      </w:pPr>
      <w:r>
        <w:rPr>
          <w:rFonts w:ascii="Arial" w:cs="Arial" w:eastAsia="Arial" w:hAnsi="Arial"/>
          <w:sz w:val="22"/>
          <w:szCs w:val="22"/>
        </w:rPr>
        <w:t xml:space="preserve">The FCA expects boards of regulated firms to take ownership of firm culture, including NFM. This means the board must satisfy itself that:</w:t>
      </w:r>
    </w:p>
    <w:p>
      <w:pPr>
        <w:pStyle w:val="ListParagraph"/>
        <w:numPr>
          <w:ilvl w:val="0"/>
          <w:numId w:val="2"/>
        </w:numPr>
        <w:spacing w:after="60" w:before="60"/>
      </w:pPr>
      <w:r>
        <w:rPr>
          <w:rFonts w:ascii="Arial" w:cs="Arial" w:eastAsia="Arial" w:hAnsi="Arial"/>
          <w:sz w:val="22"/>
          <w:szCs w:val="22"/>
        </w:rPr>
        <w:t xml:space="preserve">The firm's culture does not tolerate NFM.</w:t>
      </w:r>
    </w:p>
    <w:p>
      <w:pPr>
        <w:pStyle w:val="ListParagraph"/>
        <w:numPr>
          <w:ilvl w:val="0"/>
          <w:numId w:val="2"/>
        </w:numPr>
        <w:spacing w:after="60" w:before="60"/>
      </w:pPr>
      <w:r>
        <w:rPr>
          <w:rFonts w:ascii="Arial" w:cs="Arial" w:eastAsia="Arial" w:hAnsi="Arial"/>
          <w:sz w:val="22"/>
          <w:szCs w:val="22"/>
        </w:rPr>
        <w:t xml:space="preserve">Leadership behaviours — including at board and executive level — are consistent with the firm's stated NFM expectations.</w:t>
      </w:r>
    </w:p>
    <w:p>
      <w:pPr>
        <w:pStyle w:val="ListParagraph"/>
        <w:numPr>
          <w:ilvl w:val="0"/>
          <w:numId w:val="2"/>
        </w:numPr>
        <w:spacing w:after="60" w:before="60"/>
      </w:pPr>
      <w:r>
        <w:rPr>
          <w:rFonts w:ascii="Arial" w:cs="Arial" w:eastAsia="Arial" w:hAnsi="Arial"/>
          <w:sz w:val="22"/>
          <w:szCs w:val="22"/>
        </w:rPr>
        <w:t xml:space="preserve">The firm has adequate systems to detect, report, and respond to NFM.</w:t>
      </w:r>
    </w:p>
    <w:p>
      <w:pPr>
        <w:spacing w:after="100" w:before="100"/>
      </w:pPr>
      <w:r>
        <w:t xml:space="preserve"/>
      </w:r>
    </w:p>
    <w:p>
      <w:pPr>
        <w:pStyle w:val="Heading2"/>
        <w:spacing w:after="120" w:before="200"/>
      </w:pPr>
      <w:r>
        <w:rPr>
          <w:rFonts w:ascii="Arial" w:cs="Arial" w:eastAsia="Arial" w:hAnsi="Arial"/>
          <w:b/>
          <w:bCs/>
          <w:color w:val="1A2744"/>
          <w:sz w:val="26"/>
          <w:szCs w:val="26"/>
        </w:rPr>
        <w:t xml:space="preserve">Senior Manager Accountability</w:t>
      </w:r>
    </w:p>
    <w:p>
      <w:pPr>
        <w:spacing w:after="80" w:before="80"/>
      </w:pPr>
      <w:r>
        <w:rPr>
          <w:rFonts w:ascii="Arial" w:cs="Arial" w:eastAsia="Arial" w:hAnsi="Arial"/>
          <w:sz w:val="22"/>
          <w:szCs w:val="22"/>
        </w:rPr>
        <w:t xml:space="preserve">One or more named Senior Managers should hold explicit accountability for NFM policy and the firm's culture framework. This accountability should be reflected in their Statements of Responsibility (SoRs) where applicable. The relevant SMF is typically the CEO (SMF1) for culture, or the Head of Human Resources (SMF18) where that role is in scope.</w:t>
      </w:r>
    </w:p>
    <w:p>
      <w:pPr>
        <w:spacing w:after="100" w:before="100"/>
      </w:pPr>
      <w:r>
        <w:t xml:space="preserve"/>
      </w:r>
    </w:p>
    <w:p>
      <w:pPr>
        <w:pStyle w:val="Heading2"/>
        <w:spacing w:after="120" w:before="200"/>
      </w:pPr>
      <w:r>
        <w:rPr>
          <w:rFonts w:ascii="Arial" w:cs="Arial" w:eastAsia="Arial" w:hAnsi="Arial"/>
          <w:b/>
          <w:bCs/>
          <w:color w:val="1A2744"/>
          <w:sz w:val="26"/>
          <w:szCs w:val="26"/>
        </w:rPr>
        <w:t xml:space="preserve">Certification Regime Implications</w:t>
      </w:r>
    </w:p>
    <w:p>
      <w:pPr>
        <w:spacing w:after="80" w:before="80"/>
      </w:pPr>
      <w:r>
        <w:rPr>
          <w:rFonts w:ascii="Arial" w:cs="Arial" w:eastAsia="Arial" w:hAnsi="Arial"/>
          <w:sz w:val="22"/>
          <w:szCs w:val="22"/>
        </w:rPr>
        <w:t xml:space="preserve">Annual certification of Certified Persons must now include NFM as a formal consideration. HR and Compliance teams must update their certification processes and documentation templates to capture NFM declarations and any relevant history.</w:t>
      </w:r>
    </w:p>
    <w:p>
      <w:pPr>
        <w:spacing w:after="100" w:before="100"/>
      </w:pPr>
      <w:r>
        <w:t xml:space="preserve"/>
      </w:r>
    </w:p>
    <w:p>
      <w:pPr>
        <w:pStyle w:val="Heading2"/>
        <w:spacing w:after="120" w:before="200"/>
      </w:pPr>
      <w:r>
        <w:rPr>
          <w:rFonts w:ascii="Arial" w:cs="Arial" w:eastAsia="Arial" w:hAnsi="Arial"/>
          <w:b/>
          <w:bCs/>
          <w:color w:val="1A2744"/>
          <w:sz w:val="26"/>
          <w:szCs w:val="26"/>
        </w:rPr>
        <w:t xml:space="preserve">Whistleblowing and Reporting</w:t>
      </w:r>
    </w:p>
    <w:p>
      <w:pPr>
        <w:spacing w:after="80" w:before="80"/>
      </w:pPr>
      <w:r>
        <w:rPr>
          <w:rFonts w:ascii="Arial" w:cs="Arial" w:eastAsia="Arial" w:hAnsi="Arial"/>
          <w:sz w:val="22"/>
          <w:szCs w:val="22"/>
        </w:rPr>
        <w:t xml:space="preserve">The FCA expects firms to have confidential, accessible reporting mechanisms for NFM. Whistleblowing policies must be reviewed to confirm they cover NFM reporting — either as part of the existing whistleblowing channel or as a documented parallel process. Anti-retaliation protections must be explicit and operationally real.</w:t>
      </w:r>
    </w:p>
    <w:p>
      <w:pPr>
        <w:pStyle w:val="Heading1"/>
        <w:pageBreakBefore/>
        <w:spacing w:after="200" w:before="240"/>
      </w:pPr>
      <w:r>
        <w:rPr>
          <w:rFonts w:ascii="Arial" w:cs="Arial" w:eastAsia="Arial" w:hAnsi="Arial"/>
          <w:b/>
          <w:bCs/>
          <w:color w:val="1A2744"/>
          <w:sz w:val="32"/>
          <w:szCs w:val="32"/>
        </w:rPr>
        <w:t xml:space="preserve">4. Board Obligations Checklist</w:t>
      </w:r>
    </w:p>
    <w:p>
      <w:pPr>
        <w:spacing w:after="80" w:before="80"/>
      </w:pPr>
      <w:r>
        <w:rPr>
          <w:rFonts w:ascii="Arial" w:cs="Arial" w:eastAsia="Arial" w:hAnsi="Arial"/>
          <w:i/>
          <w:iCs/>
          <w:sz w:val="22"/>
          <w:szCs w:val="22"/>
        </w:rPr>
        <w:t xml:space="preserve">Use this checklist to assess readiness before 1 September 2026. Each item should be confirmed by management and evidenced by board papers or policy documents.</w:t>
      </w:r>
    </w:p>
    <w:p>
      <w:pPr>
        <w:spacing w:after="100" w:before="100"/>
      </w:pPr>
      <w:r>
        <w:t xml:space="preserve"/>
      </w:r>
    </w:p>
    <w:p>
      <w:pPr>
        <w:pBdr>
          <w:bottom w:val="single" w:color="1A2744" w:sz="4"/>
        </w:pBdr>
        <w:spacing w:after="100" w:before="300"/>
      </w:pPr>
      <w:r>
        <w:rPr>
          <w:rFonts w:ascii="Arial" w:cs="Arial" w:eastAsia="Arial" w:hAnsi="Arial"/>
          <w:b/>
          <w:bCs/>
          <w:caps/>
          <w:color w:val="1A2744"/>
          <w:sz w:val="24"/>
          <w:szCs w:val="24"/>
        </w:rPr>
        <w:t xml:space="preserve">Policy</w:t>
      </w:r>
    </w:p>
    <w:p>
      <w:pPr>
        <w:spacing w:after="80" w:before="80"/>
        <w:ind w:left="360"/>
      </w:pPr>
      <w:r>
        <w:rPr>
          <w:rFonts w:ascii="Arial" w:cs="Arial" w:eastAsia="Arial" w:hAnsi="Arial"/>
          <w:sz w:val="22"/>
          <w:szCs w:val="22"/>
        </w:rPr>
        <w:t xml:space="preserve">☐  </w:t>
      </w:r>
      <w:r>
        <w:rPr>
          <w:rFonts w:ascii="Arial" w:cs="Arial" w:eastAsia="Arial" w:hAnsi="Arial"/>
          <w:sz w:val="22"/>
          <w:szCs w:val="22"/>
        </w:rPr>
        <w:t xml:space="preserve">NFM policy exists and is documented</w:t>
      </w:r>
    </w:p>
    <w:p>
      <w:pPr>
        <w:spacing w:after="80" w:before="80"/>
        <w:ind w:left="360"/>
      </w:pPr>
      <w:r>
        <w:rPr>
          <w:rFonts w:ascii="Arial" w:cs="Arial" w:eastAsia="Arial" w:hAnsi="Arial"/>
          <w:sz w:val="22"/>
          <w:szCs w:val="22"/>
        </w:rPr>
        <w:t xml:space="preserve">☐  </w:t>
      </w:r>
      <w:r>
        <w:rPr>
          <w:rFonts w:ascii="Arial" w:cs="Arial" w:eastAsia="Arial" w:hAnsi="Arial"/>
          <w:sz w:val="22"/>
          <w:szCs w:val="22"/>
        </w:rPr>
        <w:t xml:space="preserve">Policy has been reviewed against FCA PS23/4 within the last 12 months</w:t>
      </w:r>
    </w:p>
    <w:p>
      <w:pPr>
        <w:spacing w:after="80" w:before="80"/>
        <w:ind w:left="360"/>
      </w:pPr>
      <w:r>
        <w:rPr>
          <w:rFonts w:ascii="Arial" w:cs="Arial" w:eastAsia="Arial" w:hAnsi="Arial"/>
          <w:sz w:val="22"/>
          <w:szCs w:val="22"/>
        </w:rPr>
        <w:t xml:space="preserve">☐  </w:t>
      </w:r>
      <w:r>
        <w:rPr>
          <w:rFonts w:ascii="Arial" w:cs="Arial" w:eastAsia="Arial" w:hAnsi="Arial"/>
          <w:sz w:val="22"/>
          <w:szCs w:val="22"/>
        </w:rPr>
        <w:t xml:space="preserve">Policy has been approved at board level</w:t>
      </w:r>
    </w:p>
    <w:p>
      <w:pPr>
        <w:spacing w:after="80" w:before="80"/>
        <w:ind w:left="360"/>
      </w:pPr>
      <w:r>
        <w:rPr>
          <w:rFonts w:ascii="Arial" w:cs="Arial" w:eastAsia="Arial" w:hAnsi="Arial"/>
          <w:sz w:val="22"/>
          <w:szCs w:val="22"/>
        </w:rPr>
        <w:t xml:space="preserve">☐  </w:t>
      </w:r>
      <w:r>
        <w:rPr>
          <w:rFonts w:ascii="Arial" w:cs="Arial" w:eastAsia="Arial" w:hAnsi="Arial"/>
          <w:sz w:val="22"/>
          <w:szCs w:val="22"/>
        </w:rPr>
        <w:t xml:space="preserve">Policy covers all FCA-defined NFM categories (bullying, harassment, discrimination, victimisation)</w:t>
      </w:r>
    </w:p>
    <w:p>
      <w:pPr>
        <w:spacing w:after="80" w:before="80"/>
        <w:ind w:left="360"/>
      </w:pPr>
      <w:r>
        <w:rPr>
          <w:rFonts w:ascii="Arial" w:cs="Arial" w:eastAsia="Arial" w:hAnsi="Arial"/>
          <w:sz w:val="22"/>
          <w:szCs w:val="22"/>
        </w:rPr>
        <w:t xml:space="preserve">☐  </w:t>
      </w:r>
      <w:r>
        <w:rPr>
          <w:rFonts w:ascii="Arial" w:cs="Arial" w:eastAsia="Arial" w:hAnsi="Arial"/>
          <w:sz w:val="22"/>
          <w:szCs w:val="22"/>
        </w:rPr>
        <w:t xml:space="preserve">Policy applies to contractors and suppliers, not just employees</w:t>
      </w:r>
    </w:p>
    <w:p>
      <w:pPr>
        <w:spacing w:after="100" w:before="100"/>
      </w:pPr>
      <w:r>
        <w:t xml:space="preserve"/>
      </w:r>
    </w:p>
    <w:p>
      <w:pPr>
        <w:pBdr>
          <w:bottom w:val="single" w:color="1A2744" w:sz="4"/>
        </w:pBdr>
        <w:spacing w:after="100" w:before="300"/>
      </w:pPr>
      <w:r>
        <w:rPr>
          <w:rFonts w:ascii="Arial" w:cs="Arial" w:eastAsia="Arial" w:hAnsi="Arial"/>
          <w:b/>
          <w:bCs/>
          <w:caps/>
          <w:color w:val="1A2744"/>
          <w:sz w:val="24"/>
          <w:szCs w:val="24"/>
        </w:rPr>
        <w:t xml:space="preserve">Fit and Proper</w:t>
      </w:r>
    </w:p>
    <w:p>
      <w:pPr>
        <w:spacing w:after="80" w:before="80"/>
        <w:ind w:left="360"/>
      </w:pPr>
      <w:r>
        <w:rPr>
          <w:rFonts w:ascii="Arial" w:cs="Arial" w:eastAsia="Arial" w:hAnsi="Arial"/>
          <w:sz w:val="22"/>
          <w:szCs w:val="22"/>
        </w:rPr>
        <w:t xml:space="preserve">☐  </w:t>
      </w:r>
      <w:r>
        <w:rPr>
          <w:rFonts w:ascii="Arial" w:cs="Arial" w:eastAsia="Arial" w:hAnsi="Arial"/>
          <w:sz w:val="22"/>
          <w:szCs w:val="22"/>
        </w:rPr>
        <w:t xml:space="preserve">Annual F&amp;P assessment process explicitly incorporates NFM considerations</w:t>
      </w:r>
    </w:p>
    <w:p>
      <w:pPr>
        <w:spacing w:after="80" w:before="80"/>
        <w:ind w:left="360"/>
      </w:pPr>
      <w:r>
        <w:rPr>
          <w:rFonts w:ascii="Arial" w:cs="Arial" w:eastAsia="Arial" w:hAnsi="Arial"/>
          <w:sz w:val="22"/>
          <w:szCs w:val="22"/>
        </w:rPr>
        <w:t xml:space="preserve">☐  </w:t>
      </w:r>
      <w:r>
        <w:rPr>
          <w:rFonts w:ascii="Arial" w:cs="Arial" w:eastAsia="Arial" w:hAnsi="Arial"/>
          <w:sz w:val="22"/>
          <w:szCs w:val="22"/>
        </w:rPr>
        <w:t xml:space="preserve">F&amp;P questionnaire includes NFM-specific disclosure questions</w:t>
      </w:r>
    </w:p>
    <w:p>
      <w:pPr>
        <w:spacing w:after="80" w:before="80"/>
        <w:ind w:left="360"/>
      </w:pPr>
      <w:r>
        <w:rPr>
          <w:rFonts w:ascii="Arial" w:cs="Arial" w:eastAsia="Arial" w:hAnsi="Arial"/>
          <w:sz w:val="22"/>
          <w:szCs w:val="22"/>
        </w:rPr>
        <w:t xml:space="preserve">☐  </w:t>
      </w:r>
      <w:r>
        <w:rPr>
          <w:rFonts w:ascii="Arial" w:cs="Arial" w:eastAsia="Arial" w:hAnsi="Arial"/>
          <w:sz w:val="22"/>
          <w:szCs w:val="22"/>
        </w:rPr>
        <w:t xml:space="preserve">NFM history from the preceding 3 years is reviewed as part of F&amp;P assessment</w:t>
      </w:r>
    </w:p>
    <w:p>
      <w:pPr>
        <w:spacing w:after="80" w:before="80"/>
        <w:ind w:left="360"/>
      </w:pPr>
      <w:r>
        <w:rPr>
          <w:rFonts w:ascii="Arial" w:cs="Arial" w:eastAsia="Arial" w:hAnsi="Arial"/>
          <w:sz w:val="22"/>
          <w:szCs w:val="22"/>
        </w:rPr>
        <w:t xml:space="preserve">☐  </w:t>
      </w:r>
      <w:r>
        <w:rPr>
          <w:rFonts w:ascii="Arial" w:cs="Arial" w:eastAsia="Arial" w:hAnsi="Arial"/>
          <w:sz w:val="22"/>
          <w:szCs w:val="22"/>
        </w:rPr>
        <w:t xml:space="preserve">Process applies to both SMF holders and Certified Persons</w:t>
      </w:r>
    </w:p>
    <w:p>
      <w:pPr>
        <w:spacing w:after="100" w:before="100"/>
      </w:pPr>
      <w:r>
        <w:t xml:space="preserve"/>
      </w:r>
    </w:p>
    <w:p>
      <w:pPr>
        <w:pBdr>
          <w:bottom w:val="single" w:color="1A2744" w:sz="4"/>
        </w:pBdr>
        <w:spacing w:after="100" w:before="300"/>
      </w:pPr>
      <w:r>
        <w:rPr>
          <w:rFonts w:ascii="Arial" w:cs="Arial" w:eastAsia="Arial" w:hAnsi="Arial"/>
          <w:b/>
          <w:bCs/>
          <w:caps/>
          <w:color w:val="1A2744"/>
          <w:sz w:val="24"/>
          <w:szCs w:val="24"/>
        </w:rPr>
        <w:t xml:space="preserve">Escalation and Reporting</w:t>
      </w:r>
    </w:p>
    <w:p>
      <w:pPr>
        <w:spacing w:after="80" w:before="80"/>
        <w:ind w:left="360"/>
      </w:pPr>
      <w:r>
        <w:rPr>
          <w:rFonts w:ascii="Arial" w:cs="Arial" w:eastAsia="Arial" w:hAnsi="Arial"/>
          <w:sz w:val="22"/>
          <w:szCs w:val="22"/>
        </w:rPr>
        <w:t xml:space="preserve">☐  </w:t>
      </w:r>
      <w:r>
        <w:rPr>
          <w:rFonts w:ascii="Arial" w:cs="Arial" w:eastAsia="Arial" w:hAnsi="Arial"/>
          <w:sz w:val="22"/>
          <w:szCs w:val="22"/>
        </w:rPr>
        <w:t xml:space="preserve">Confidential NFM reporting channel is operational</w:t>
      </w:r>
    </w:p>
    <w:p>
      <w:pPr>
        <w:spacing w:after="80" w:before="80"/>
        <w:ind w:left="360"/>
      </w:pPr>
      <w:r>
        <w:rPr>
          <w:rFonts w:ascii="Arial" w:cs="Arial" w:eastAsia="Arial" w:hAnsi="Arial"/>
          <w:sz w:val="22"/>
          <w:szCs w:val="22"/>
        </w:rPr>
        <w:t xml:space="preserve">☐  </w:t>
      </w:r>
      <w:r>
        <w:rPr>
          <w:rFonts w:ascii="Arial" w:cs="Arial" w:eastAsia="Arial" w:hAnsi="Arial"/>
          <w:sz w:val="22"/>
          <w:szCs w:val="22"/>
        </w:rPr>
        <w:t xml:space="preserve">Escalation framework defines trigger points for board notification</w:t>
      </w:r>
    </w:p>
    <w:p>
      <w:pPr>
        <w:spacing w:after="80" w:before="80"/>
        <w:ind w:left="360"/>
      </w:pPr>
      <w:r>
        <w:rPr>
          <w:rFonts w:ascii="Arial" w:cs="Arial" w:eastAsia="Arial" w:hAnsi="Arial"/>
          <w:sz w:val="22"/>
          <w:szCs w:val="22"/>
        </w:rPr>
        <w:t xml:space="preserve">☐  </w:t>
      </w:r>
      <w:r>
        <w:rPr>
          <w:rFonts w:ascii="Arial" w:cs="Arial" w:eastAsia="Arial" w:hAnsi="Arial"/>
          <w:sz w:val="22"/>
          <w:szCs w:val="22"/>
        </w:rPr>
        <w:t xml:space="preserve">Investigation process is independent and documented</w:t>
      </w:r>
    </w:p>
    <w:p>
      <w:pPr>
        <w:spacing w:after="80" w:before="80"/>
        <w:ind w:left="360"/>
      </w:pPr>
      <w:r>
        <w:rPr>
          <w:rFonts w:ascii="Arial" w:cs="Arial" w:eastAsia="Arial" w:hAnsi="Arial"/>
          <w:sz w:val="22"/>
          <w:szCs w:val="22"/>
        </w:rPr>
        <w:t xml:space="preserve">☐  </w:t>
      </w:r>
      <w:r>
        <w:rPr>
          <w:rFonts w:ascii="Arial" w:cs="Arial" w:eastAsia="Arial" w:hAnsi="Arial"/>
          <w:sz w:val="22"/>
          <w:szCs w:val="22"/>
        </w:rPr>
        <w:t xml:space="preserve">Regulatory reference obligations (s.63ZA FSMA) are understood and applied</w:t>
      </w:r>
    </w:p>
    <w:p>
      <w:pPr>
        <w:spacing w:after="100" w:before="100"/>
      </w:pPr>
      <w:r>
        <w:t xml:space="preserve"/>
      </w:r>
    </w:p>
    <w:p>
      <w:pPr>
        <w:pBdr>
          <w:bottom w:val="single" w:color="1A2744" w:sz="4"/>
        </w:pBdr>
        <w:spacing w:after="100" w:before="300"/>
      </w:pPr>
      <w:r>
        <w:rPr>
          <w:rFonts w:ascii="Arial" w:cs="Arial" w:eastAsia="Arial" w:hAnsi="Arial"/>
          <w:b/>
          <w:bCs/>
          <w:caps/>
          <w:color w:val="1A2744"/>
          <w:sz w:val="24"/>
          <w:szCs w:val="24"/>
        </w:rPr>
        <w:t xml:space="preserve">Governance</w:t>
      </w:r>
    </w:p>
    <w:p>
      <w:pPr>
        <w:spacing w:after="80" w:before="80"/>
        <w:ind w:left="360"/>
      </w:pPr>
      <w:r>
        <w:rPr>
          <w:rFonts w:ascii="Arial" w:cs="Arial" w:eastAsia="Arial" w:hAnsi="Arial"/>
          <w:sz w:val="22"/>
          <w:szCs w:val="22"/>
        </w:rPr>
        <w:t xml:space="preserve">☐  </w:t>
      </w:r>
      <w:r>
        <w:rPr>
          <w:rFonts w:ascii="Arial" w:cs="Arial" w:eastAsia="Arial" w:hAnsi="Arial"/>
          <w:sz w:val="22"/>
          <w:szCs w:val="22"/>
        </w:rPr>
        <w:t xml:space="preserve">Named Senior Manager holds accountability for NFM in their Statement of Responsibility</w:t>
      </w:r>
    </w:p>
    <w:p>
      <w:pPr>
        <w:spacing w:after="80" w:before="80"/>
        <w:ind w:left="360"/>
      </w:pPr>
      <w:r>
        <w:rPr>
          <w:rFonts w:ascii="Arial" w:cs="Arial" w:eastAsia="Arial" w:hAnsi="Arial"/>
          <w:sz w:val="22"/>
          <w:szCs w:val="22"/>
        </w:rPr>
        <w:t xml:space="preserve">☐  </w:t>
      </w:r>
      <w:r>
        <w:rPr>
          <w:rFonts w:ascii="Arial" w:cs="Arial" w:eastAsia="Arial" w:hAnsi="Arial"/>
          <w:sz w:val="22"/>
          <w:szCs w:val="22"/>
        </w:rPr>
        <w:t xml:space="preserve">Board receives regular data on NFM reports, investigations, and outcomes</w:t>
      </w:r>
    </w:p>
    <w:p>
      <w:pPr>
        <w:spacing w:after="80" w:before="80"/>
        <w:ind w:left="360"/>
      </w:pPr>
      <w:r>
        <w:rPr>
          <w:rFonts w:ascii="Arial" w:cs="Arial" w:eastAsia="Arial" w:hAnsi="Arial"/>
          <w:sz w:val="22"/>
          <w:szCs w:val="22"/>
        </w:rPr>
        <w:t xml:space="preserve">☐  </w:t>
      </w:r>
      <w:r>
        <w:rPr>
          <w:rFonts w:ascii="Arial" w:cs="Arial" w:eastAsia="Arial" w:hAnsi="Arial"/>
          <w:sz w:val="22"/>
          <w:szCs w:val="22"/>
        </w:rPr>
        <w:t xml:space="preserve">Training has been provided to the board and senior management on NFM obligations</w:t>
      </w:r>
    </w:p>
    <w:p>
      <w:pPr>
        <w:spacing w:after="80" w:before="80"/>
        <w:ind w:left="360"/>
      </w:pPr>
      <w:r>
        <w:rPr>
          <w:rFonts w:ascii="Arial" w:cs="Arial" w:eastAsia="Arial" w:hAnsi="Arial"/>
          <w:sz w:val="22"/>
          <w:szCs w:val="22"/>
        </w:rPr>
        <w:t xml:space="preserve">☐  </w:t>
      </w:r>
      <w:r>
        <w:rPr>
          <w:rFonts w:ascii="Arial" w:cs="Arial" w:eastAsia="Arial" w:hAnsi="Arial"/>
          <w:sz w:val="22"/>
          <w:szCs w:val="22"/>
        </w:rPr>
        <w:t xml:space="preserve">Annual NFM policy review is scheduled post-September 2026</w:t>
      </w:r>
    </w:p>
    <w:p>
      <w:pPr>
        <w:pStyle w:val="Heading1"/>
        <w:pageBreakBefore/>
        <w:spacing w:after="200" w:before="240"/>
      </w:pPr>
      <w:r>
        <w:rPr>
          <w:rFonts w:ascii="Arial" w:cs="Arial" w:eastAsia="Arial" w:hAnsi="Arial"/>
          <w:b/>
          <w:bCs/>
          <w:color w:val="1A2744"/>
          <w:sz w:val="32"/>
          <w:szCs w:val="32"/>
        </w:rPr>
        <w:t xml:space="preserve">5. NFM Policy Framework — Template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1A2744" w:sz="4"/>
              <w:left w:val="single" w:color="1A2744" w:sz="4"/>
              <w:bottom w:val="single" w:color="1A2744" w:sz="4"/>
              <w:right w:val="single" w:color="1A2744" w:sz="4"/>
            </w:tcBorders>
            <w:shd w:fill="F2F4F7" w:val="clear"/>
            <w:tcMar>
              <w:top w:type="dxa" w:w="160"/>
              <w:left w:type="dxa" w:w="240"/>
              <w:bottom w:type="dxa" w:w="160"/>
              <w:right w:type="dxa" w:w="240"/>
            </w:tcMar>
          </w:tcPr>
          <w:p>
            <w:pPr>
              <w:spacing w:after="80" w:before="0"/>
            </w:pPr>
            <w:r>
              <w:rPr>
                <w:rFonts w:ascii="Arial" w:cs="Arial" w:eastAsia="Arial" w:hAnsi="Arial"/>
                <w:b/>
                <w:bCs/>
                <w:color w:val="1A2744"/>
                <w:sz w:val="20"/>
                <w:szCs w:val="20"/>
              </w:rPr>
              <w:t xml:space="preserve">Template Notice</w:t>
            </w:r>
          </w:p>
          <w:p>
            <w:pPr>
              <w:spacing w:after="0" w:before="0"/>
            </w:pPr>
            <w:r>
              <w:rPr>
                <w:rFonts w:ascii="Arial" w:cs="Arial" w:eastAsia="Arial" w:hAnsi="Arial"/>
                <w:i/>
                <w:iCs/>
                <w:sz w:val="20"/>
                <w:szCs w:val="20"/>
              </w:rPr>
              <w:t xml:space="preserve">This template is a starting framework for adaptation. It should be reviewed by legal counsel and tailored to your firm's structure, regulatory permissions, and existing policies before adoption. It does not constitute legal advice.</w:t>
            </w:r>
          </w:p>
        </w:tc>
      </w:tr>
    </w:tbl>
    <w:p>
      <w:pPr>
        <w:spacing w:after="100" w:before="100"/>
      </w:pPr>
      <w:r>
        <w:t xml:space="preserve"/>
      </w:r>
    </w:p>
    <w:p>
      <w:pPr>
        <w:pStyle w:val="Heading2"/>
        <w:spacing w:after="120" w:before="200"/>
      </w:pPr>
      <w:r>
        <w:rPr>
          <w:rFonts w:ascii="Arial" w:cs="Arial" w:eastAsia="Arial" w:hAnsi="Arial"/>
          <w:b/>
          <w:bCs/>
          <w:color w:val="1A2744"/>
          <w:sz w:val="26"/>
          <w:szCs w:val="26"/>
        </w:rPr>
        <w:t xml:space="preserve">Non-Financial Misconduct Policy</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00"/>
      </w:tblGrid>
      <w:tr>
        <w:tc>
          <w:tcPr>
            <w:tcW w:type="dxa" w:w="30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b/>
                <w:bCs/>
                <w:sz w:val="20"/>
                <w:szCs w:val="20"/>
              </w:rPr>
              <w:t xml:space="preserve">Policy Owner</w:t>
            </w:r>
          </w:p>
        </w:tc>
        <w:tc>
          <w:tcPr>
            <w:tcW w:type="dxa" w:w="66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sz w:val="20"/>
                <w:szCs w:val="20"/>
              </w:rPr>
              <w:t xml:space="preserve">[General Counsel / Chief People Officer]</w:t>
            </w:r>
          </w:p>
        </w:tc>
      </w:tr>
      <w:tr>
        <w:tc>
          <w:tcPr>
            <w:tcW w:type="dxa" w:w="30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b/>
                <w:bCs/>
                <w:sz w:val="20"/>
                <w:szCs w:val="20"/>
              </w:rPr>
              <w:t xml:space="preserve">Approved By</w:t>
            </w:r>
          </w:p>
        </w:tc>
        <w:tc>
          <w:tcPr>
            <w:tcW w:type="dxa" w:w="66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sz w:val="20"/>
                <w:szCs w:val="20"/>
              </w:rPr>
              <w:t xml:space="preserve">Board of Directors</w:t>
            </w:r>
          </w:p>
        </w:tc>
      </w:tr>
      <w:tr>
        <w:tc>
          <w:tcPr>
            <w:tcW w:type="dxa" w:w="30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b/>
                <w:bCs/>
                <w:sz w:val="20"/>
                <w:szCs w:val="20"/>
              </w:rPr>
              <w:t xml:space="preserve">Effective Date</w:t>
            </w:r>
          </w:p>
        </w:tc>
        <w:tc>
          <w:tcPr>
            <w:tcW w:type="dxa" w:w="66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sz w:val="20"/>
                <w:szCs w:val="20"/>
              </w:rPr>
              <w:t xml:space="preserve">On or before 1 September 2026</w:t>
            </w:r>
          </w:p>
        </w:tc>
      </w:tr>
      <w:tr>
        <w:tc>
          <w:tcPr>
            <w:tcW w:type="dxa" w:w="30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b/>
                <w:bCs/>
                <w:sz w:val="20"/>
                <w:szCs w:val="20"/>
              </w:rPr>
              <w:t xml:space="preserve">Review Frequency</w:t>
            </w:r>
          </w:p>
        </w:tc>
        <w:tc>
          <w:tcPr>
            <w:tcW w:type="dxa" w:w="66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sz w:val="20"/>
                <w:szCs w:val="20"/>
              </w:rPr>
              <w:t xml:space="preserve">Annual</w:t>
            </w:r>
          </w:p>
        </w:tc>
      </w:tr>
      <w:tr>
        <w:tc>
          <w:tcPr>
            <w:tcW w:type="dxa" w:w="30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b/>
                <w:bCs/>
                <w:sz w:val="20"/>
                <w:szCs w:val="20"/>
              </w:rPr>
              <w:t xml:space="preserve">Regulatory Reference</w:t>
            </w:r>
          </w:p>
        </w:tc>
        <w:tc>
          <w:tcPr>
            <w:tcW w:type="dxa" w:w="66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sz w:val="20"/>
                <w:szCs w:val="20"/>
              </w:rPr>
              <w:t xml:space="preserve">FCA PS23/4, FCA COCON 2.1, FCA FIT 2.1, PRA SS28/15</w:t>
            </w:r>
          </w:p>
        </w:tc>
      </w:tr>
    </w:tbl>
    <w:p>
      <w:pPr>
        <w:spacing w:after="100" w:before="100"/>
      </w:pPr>
      <w:r>
        <w:t xml:space="preserve"/>
      </w:r>
    </w:p>
    <w:p>
      <w:pPr>
        <w:pStyle w:val="Heading2"/>
        <w:spacing w:after="120" w:before="200"/>
      </w:pPr>
      <w:r>
        <w:rPr>
          <w:rFonts w:ascii="Arial" w:cs="Arial" w:eastAsia="Arial" w:hAnsi="Arial"/>
          <w:b/>
          <w:bCs/>
          <w:color w:val="1A2744"/>
          <w:sz w:val="26"/>
          <w:szCs w:val="26"/>
        </w:rPr>
        <w:t xml:space="preserve">1. Purpose and Scope</w:t>
      </w:r>
    </w:p>
    <w:p>
      <w:pPr>
        <w:spacing w:after="80" w:before="80"/>
      </w:pPr>
      <w:r>
        <w:rPr>
          <w:rFonts w:ascii="Arial" w:cs="Arial" w:eastAsia="Arial" w:hAnsi="Arial"/>
          <w:sz w:val="22"/>
          <w:szCs w:val="22"/>
        </w:rPr>
        <w:t xml:space="preserve">This Policy sets out [Firm Name]'s approach to non-financial misconduct (NFM) in accordance with the requirements of the Senior Managers and Certification Regime (SMCR) and the FCA's finalised rules in PS23/4. It applies to all individuals within the scope of SMCR — including Senior Managers, Certified Persons, and other Conduct Rules staff — as well as contractors and third parties engaged by the firm.</w:t>
      </w:r>
    </w:p>
    <w:p>
      <w:pPr>
        <w:spacing w:after="100" w:before="100"/>
      </w:pPr>
      <w:r>
        <w:t xml:space="preserve"/>
      </w:r>
    </w:p>
    <w:p>
      <w:pPr>
        <w:pStyle w:val="Heading2"/>
        <w:spacing w:after="120" w:before="200"/>
      </w:pPr>
      <w:r>
        <w:rPr>
          <w:rFonts w:ascii="Arial" w:cs="Arial" w:eastAsia="Arial" w:hAnsi="Arial"/>
          <w:b/>
          <w:bCs/>
          <w:color w:val="1A2744"/>
          <w:sz w:val="26"/>
          <w:szCs w:val="26"/>
        </w:rPr>
        <w:t xml:space="preserve">2. Definition of Non-Financial Misconduct</w:t>
      </w:r>
    </w:p>
    <w:p>
      <w:pPr>
        <w:spacing w:after="80" w:before="80"/>
      </w:pPr>
      <w:r>
        <w:rPr>
          <w:rFonts w:ascii="Arial" w:cs="Arial" w:eastAsia="Arial" w:hAnsi="Arial"/>
          <w:sz w:val="22"/>
          <w:szCs w:val="22"/>
        </w:rPr>
        <w:t xml:space="preserve">For the purposes of this Policy, non-financial misconduct includes any serious adverse personal conduct that reflects on an individual's fitness and propriety, including but not limited to:</w:t>
      </w:r>
    </w:p>
    <w:p>
      <w:pPr>
        <w:pStyle w:val="ListParagraph"/>
        <w:numPr>
          <w:ilvl w:val="0"/>
          <w:numId w:val="2"/>
        </w:numPr>
        <w:spacing w:after="60" w:before="60"/>
      </w:pPr>
      <w:r>
        <w:rPr>
          <w:rFonts w:ascii="Arial" w:cs="Arial" w:eastAsia="Arial" w:hAnsi="Arial"/>
          <w:sz w:val="22"/>
          <w:szCs w:val="22"/>
        </w:rPr>
        <w:t xml:space="preserve">Bullying, intimidation, or aggressive behaviour directed at colleagues or others</w:t>
      </w:r>
    </w:p>
    <w:p>
      <w:pPr>
        <w:pStyle w:val="ListParagraph"/>
        <w:numPr>
          <w:ilvl w:val="0"/>
          <w:numId w:val="2"/>
        </w:numPr>
        <w:spacing w:after="60" w:before="60"/>
      </w:pPr>
      <w:r>
        <w:rPr>
          <w:rFonts w:ascii="Arial" w:cs="Arial" w:eastAsia="Arial" w:hAnsi="Arial"/>
          <w:sz w:val="22"/>
          <w:szCs w:val="22"/>
        </w:rPr>
        <w:t xml:space="preserve">Sexual harassment or unwanted conduct of a sexual nature</w:t>
      </w:r>
    </w:p>
    <w:p>
      <w:pPr>
        <w:pStyle w:val="ListParagraph"/>
        <w:numPr>
          <w:ilvl w:val="0"/>
          <w:numId w:val="2"/>
        </w:numPr>
        <w:spacing w:after="60" w:before="60"/>
      </w:pPr>
      <w:r>
        <w:rPr>
          <w:rFonts w:ascii="Arial" w:cs="Arial" w:eastAsia="Arial" w:hAnsi="Arial"/>
          <w:sz w:val="22"/>
          <w:szCs w:val="22"/>
        </w:rPr>
        <w:t xml:space="preserve">Discrimination on the basis of a protected characteristic under the Equality Act 2010</w:t>
      </w:r>
    </w:p>
    <w:p>
      <w:pPr>
        <w:pStyle w:val="ListParagraph"/>
        <w:numPr>
          <w:ilvl w:val="0"/>
          <w:numId w:val="2"/>
        </w:numPr>
        <w:spacing w:after="60" w:before="60"/>
      </w:pPr>
      <w:r>
        <w:rPr>
          <w:rFonts w:ascii="Arial" w:cs="Arial" w:eastAsia="Arial" w:hAnsi="Arial"/>
          <w:sz w:val="22"/>
          <w:szCs w:val="22"/>
        </w:rPr>
        <w:t xml:space="preserve">Victimisation of individuals who raise concerns or make complaints</w:t>
      </w:r>
    </w:p>
    <w:p>
      <w:pPr>
        <w:pStyle w:val="ListParagraph"/>
        <w:numPr>
          <w:ilvl w:val="0"/>
          <w:numId w:val="2"/>
        </w:numPr>
        <w:spacing w:after="60" w:before="60"/>
      </w:pPr>
      <w:r>
        <w:rPr>
          <w:rFonts w:ascii="Arial" w:cs="Arial" w:eastAsia="Arial" w:hAnsi="Arial"/>
          <w:sz w:val="22"/>
          <w:szCs w:val="22"/>
        </w:rPr>
        <w:t xml:space="preserve">Serious abuse of authority, seniority, or hierarchical position</w:t>
      </w:r>
    </w:p>
    <w:p>
      <w:pPr>
        <w:pStyle w:val="ListParagraph"/>
        <w:numPr>
          <w:ilvl w:val="0"/>
          <w:numId w:val="2"/>
        </w:numPr>
        <w:spacing w:after="60" w:before="60"/>
      </w:pPr>
      <w:r>
        <w:rPr>
          <w:rFonts w:ascii="Arial" w:cs="Arial" w:eastAsia="Arial" w:hAnsi="Arial"/>
          <w:sz w:val="22"/>
          <w:szCs w:val="22"/>
        </w:rPr>
        <w:t xml:space="preserve">Conduct outside the workplace that is connected to the individual's role and reflects adversely on their character</w:t>
      </w:r>
    </w:p>
    <w:p>
      <w:pPr>
        <w:spacing w:after="100" w:before="100"/>
      </w:pPr>
      <w:r>
        <w:t xml:space="preserve"/>
      </w:r>
    </w:p>
    <w:p>
      <w:pPr>
        <w:pStyle w:val="Heading2"/>
        <w:spacing w:after="120" w:before="200"/>
      </w:pPr>
      <w:r>
        <w:rPr>
          <w:rFonts w:ascii="Arial" w:cs="Arial" w:eastAsia="Arial" w:hAnsi="Arial"/>
          <w:b/>
          <w:bCs/>
          <w:color w:val="1A2744"/>
          <w:sz w:val="26"/>
          <w:szCs w:val="26"/>
        </w:rPr>
        <w:t xml:space="preserve">3. Roles and Responsibilities</w:t>
      </w:r>
    </w:p>
    <w:p>
      <w:pPr>
        <w:pStyle w:val="ListParagraph"/>
        <w:numPr>
          <w:ilvl w:val="0"/>
          <w:numId w:val="2"/>
        </w:numPr>
        <w:spacing w:after="60" w:before="60"/>
      </w:pPr>
      <w:r>
        <w:rPr>
          <w:rFonts w:ascii="Arial" w:cs="Arial" w:eastAsia="Arial" w:hAnsi="Arial"/>
          <w:b/>
          <w:bCs/>
          <w:sz w:val="22"/>
          <w:szCs w:val="22"/>
        </w:rPr>
        <w:t xml:space="preserve">Approves this Policy; receives regular reporting on NFM metrics; satisfies itself that the firm's culture is consistent with its NFM expectations.</w:t>
      </w:r>
      <w:r>
        <w:rPr>
          <w:rFonts w:ascii="Arial" w:cs="Arial" w:eastAsia="Arial" w:hAnsi="Arial"/>
          <w:sz w:val="22"/>
          <w:szCs w:val="22"/>
        </w:rPr>
        <w:t xml:space="preserve">Board of Directors: </w:t>
      </w:r>
    </w:p>
    <w:p>
      <w:pPr>
        <w:pStyle w:val="ListParagraph"/>
        <w:numPr>
          <w:ilvl w:val="0"/>
          <w:numId w:val="2"/>
        </w:numPr>
        <w:spacing w:after="60" w:before="60"/>
      </w:pPr>
      <w:r>
        <w:rPr>
          <w:rFonts w:ascii="Arial" w:cs="Arial" w:eastAsia="Arial" w:hAnsi="Arial"/>
          <w:b/>
          <w:bCs/>
          <w:sz w:val="22"/>
          <w:szCs w:val="22"/>
        </w:rPr>
        <w:t xml:space="preserve">Accountable for firm culture, including NFM, as reflected in Statement of Responsibilities.</w:t>
      </w:r>
      <w:r>
        <w:rPr>
          <w:rFonts w:ascii="Arial" w:cs="Arial" w:eastAsia="Arial" w:hAnsi="Arial"/>
          <w:sz w:val="22"/>
          <w:szCs w:val="22"/>
        </w:rPr>
        <w:t xml:space="preserve">CEO / SMF1: </w:t>
      </w:r>
    </w:p>
    <w:p>
      <w:pPr>
        <w:pStyle w:val="ListParagraph"/>
        <w:numPr>
          <w:ilvl w:val="0"/>
          <w:numId w:val="2"/>
        </w:numPr>
        <w:spacing w:after="60" w:before="60"/>
      </w:pPr>
      <w:r>
        <w:rPr>
          <w:rFonts w:ascii="Arial" w:cs="Arial" w:eastAsia="Arial" w:hAnsi="Arial"/>
          <w:b/>
          <w:bCs/>
          <w:sz w:val="22"/>
          <w:szCs w:val="22"/>
        </w:rPr>
        <w:t xml:space="preserve">Maintains this Policy; advises on regulatory reference obligations; escalation point for serious cases.</w:t>
      </w:r>
      <w:r>
        <w:rPr>
          <w:rFonts w:ascii="Arial" w:cs="Arial" w:eastAsia="Arial" w:hAnsi="Arial"/>
          <w:sz w:val="22"/>
          <w:szCs w:val="22"/>
        </w:rPr>
        <w:t xml:space="preserve">General Counsel / Compliance: </w:t>
      </w:r>
    </w:p>
    <w:p>
      <w:pPr>
        <w:pStyle w:val="ListParagraph"/>
        <w:numPr>
          <w:ilvl w:val="0"/>
          <w:numId w:val="2"/>
        </w:numPr>
        <w:spacing w:after="60" w:before="60"/>
      </w:pPr>
      <w:r>
        <w:rPr>
          <w:rFonts w:ascii="Arial" w:cs="Arial" w:eastAsia="Arial" w:hAnsi="Arial"/>
          <w:b/>
          <w:bCs/>
          <w:sz w:val="22"/>
          <w:szCs w:val="22"/>
        </w:rPr>
        <w:t xml:space="preserve">Manages the NFM reporting channel; conducts or coordinates investigations; integrates NFM into F&amp;P certification.</w:t>
      </w:r>
      <w:r>
        <w:rPr>
          <w:rFonts w:ascii="Arial" w:cs="Arial" w:eastAsia="Arial" w:hAnsi="Arial"/>
          <w:sz w:val="22"/>
          <w:szCs w:val="22"/>
        </w:rPr>
        <w:t xml:space="preserve">HR / People Function: </w:t>
      </w:r>
    </w:p>
    <w:p>
      <w:pPr>
        <w:pStyle w:val="ListParagraph"/>
        <w:numPr>
          <w:ilvl w:val="0"/>
          <w:numId w:val="2"/>
        </w:numPr>
        <w:spacing w:after="60" w:before="60"/>
      </w:pPr>
      <w:r>
        <w:rPr>
          <w:rFonts w:ascii="Arial" w:cs="Arial" w:eastAsia="Arial" w:hAnsi="Arial"/>
          <w:b/>
          <w:bCs/>
          <w:sz w:val="22"/>
          <w:szCs w:val="22"/>
        </w:rPr>
        <w:t xml:space="preserve">First point of contact for NFM concerns; responsible for maintaining a culture consistent with this Policy within their teams.</w:t>
      </w:r>
      <w:r>
        <w:rPr>
          <w:rFonts w:ascii="Arial" w:cs="Arial" w:eastAsia="Arial" w:hAnsi="Arial"/>
          <w:sz w:val="22"/>
          <w:szCs w:val="22"/>
        </w:rPr>
        <w:t xml:space="preserve">Line Managers: </w:t>
      </w:r>
    </w:p>
    <w:p>
      <w:pPr>
        <w:spacing w:after="100" w:before="100"/>
      </w:pPr>
      <w:r>
        <w:t xml:space="preserve"/>
      </w:r>
    </w:p>
    <w:p>
      <w:pPr>
        <w:pStyle w:val="Heading2"/>
        <w:spacing w:after="120" w:before="200"/>
      </w:pPr>
      <w:r>
        <w:rPr>
          <w:rFonts w:ascii="Arial" w:cs="Arial" w:eastAsia="Arial" w:hAnsi="Arial"/>
          <w:b/>
          <w:bCs/>
          <w:color w:val="1A2744"/>
          <w:sz w:val="26"/>
          <w:szCs w:val="26"/>
        </w:rPr>
        <w:t xml:space="preserve">4. Reporting and Escalation</w:t>
      </w:r>
    </w:p>
    <w:p>
      <w:pPr>
        <w:spacing w:after="80" w:before="80"/>
      </w:pPr>
      <w:r>
        <w:rPr>
          <w:rFonts w:ascii="Arial" w:cs="Arial" w:eastAsia="Arial" w:hAnsi="Arial"/>
          <w:sz w:val="22"/>
          <w:szCs w:val="22"/>
        </w:rPr>
        <w:t xml:space="preserve">Any individual may report an NFM concern via the firm's confidential reporting channel: [insert channel details]. Reports may be made anonymously. Anti-retaliation protections apply to all individuals who make a report in good faith.</w:t>
      </w:r>
    </w:p>
    <w:p>
      <w:pPr>
        <w:spacing w:after="100" w:before="100"/>
      </w:pPr>
      <w:r>
        <w:t xml:space="preserve"/>
      </w:r>
    </w:p>
    <w:p>
      <w:pPr>
        <w:spacing w:after="80" w:before="80"/>
      </w:pPr>
      <w:r>
        <w:rPr>
          <w:rFonts w:ascii="Arial" w:cs="Arial" w:eastAsia="Arial" w:hAnsi="Arial"/>
          <w:sz w:val="22"/>
          <w:szCs w:val="22"/>
        </w:rPr>
        <w:t xml:space="preserve">Escalation triggers — the following circumstances require immediate escalation to General Counsel and the relevant Senior Manager:</w:t>
      </w:r>
    </w:p>
    <w:p>
      <w:pPr>
        <w:pStyle w:val="ListParagraph"/>
        <w:numPr>
          <w:ilvl w:val="0"/>
          <w:numId w:val="2"/>
        </w:numPr>
        <w:spacing w:after="60" w:before="60"/>
      </w:pPr>
      <w:r>
        <w:rPr>
          <w:rFonts w:ascii="Arial" w:cs="Arial" w:eastAsia="Arial" w:hAnsi="Arial"/>
          <w:sz w:val="22"/>
          <w:szCs w:val="22"/>
        </w:rPr>
        <w:t xml:space="preserve">The subject of the allegation is an SMF holder or Certified Person</w:t>
      </w:r>
    </w:p>
    <w:p>
      <w:pPr>
        <w:pStyle w:val="ListParagraph"/>
        <w:numPr>
          <w:ilvl w:val="0"/>
          <w:numId w:val="2"/>
        </w:numPr>
        <w:spacing w:after="60" w:before="60"/>
      </w:pPr>
      <w:r>
        <w:rPr>
          <w:rFonts w:ascii="Arial" w:cs="Arial" w:eastAsia="Arial" w:hAnsi="Arial"/>
          <w:sz w:val="22"/>
          <w:szCs w:val="22"/>
        </w:rPr>
        <w:t xml:space="preserve">The allegation involves a pattern of conduct rather than a single incident</w:t>
      </w:r>
    </w:p>
    <w:p>
      <w:pPr>
        <w:pStyle w:val="ListParagraph"/>
        <w:numPr>
          <w:ilvl w:val="0"/>
          <w:numId w:val="2"/>
        </w:numPr>
        <w:spacing w:after="60" w:before="60"/>
      </w:pPr>
      <w:r>
        <w:rPr>
          <w:rFonts w:ascii="Arial" w:cs="Arial" w:eastAsia="Arial" w:hAnsi="Arial"/>
          <w:sz w:val="22"/>
          <w:szCs w:val="22"/>
        </w:rPr>
        <w:t xml:space="preserve">The allegation involves potential criminal conduct</w:t>
      </w:r>
    </w:p>
    <w:p>
      <w:pPr>
        <w:pStyle w:val="ListParagraph"/>
        <w:numPr>
          <w:ilvl w:val="0"/>
          <w:numId w:val="2"/>
        </w:numPr>
        <w:spacing w:after="60" w:before="60"/>
      </w:pPr>
      <w:r>
        <w:rPr>
          <w:rFonts w:ascii="Arial" w:cs="Arial" w:eastAsia="Arial" w:hAnsi="Arial"/>
          <w:sz w:val="22"/>
          <w:szCs w:val="22"/>
        </w:rPr>
        <w:t xml:space="preserve">The allegation has been raised previously and not resolved</w:t>
      </w:r>
    </w:p>
    <w:p>
      <w:pPr>
        <w:spacing w:after="100" w:before="100"/>
      </w:pPr>
      <w:r>
        <w:t xml:space="preserve"/>
      </w:r>
    </w:p>
    <w:p>
      <w:pPr>
        <w:pStyle w:val="Heading2"/>
        <w:spacing w:after="120" w:before="200"/>
      </w:pPr>
      <w:r>
        <w:rPr>
          <w:rFonts w:ascii="Arial" w:cs="Arial" w:eastAsia="Arial" w:hAnsi="Arial"/>
          <w:b/>
          <w:bCs/>
          <w:color w:val="1A2744"/>
          <w:sz w:val="26"/>
          <w:szCs w:val="26"/>
        </w:rPr>
        <w:t xml:space="preserve">5. Investigation Standards</w:t>
      </w:r>
    </w:p>
    <w:p>
      <w:pPr>
        <w:spacing w:after="80" w:before="80"/>
      </w:pPr>
      <w:r>
        <w:rPr>
          <w:rFonts w:ascii="Arial" w:cs="Arial" w:eastAsia="Arial" w:hAnsi="Arial"/>
          <w:sz w:val="22"/>
          <w:szCs w:val="22"/>
        </w:rPr>
        <w:t xml:space="preserve">All NFM investigations must be:</w:t>
      </w:r>
    </w:p>
    <w:p>
      <w:pPr>
        <w:pStyle w:val="ListParagraph"/>
        <w:numPr>
          <w:ilvl w:val="0"/>
          <w:numId w:val="2"/>
        </w:numPr>
        <w:spacing w:after="60" w:before="60"/>
      </w:pPr>
      <w:r>
        <w:rPr>
          <w:rFonts w:ascii="Arial" w:cs="Arial" w:eastAsia="Arial" w:hAnsi="Arial"/>
          <w:sz w:val="22"/>
          <w:szCs w:val="22"/>
        </w:rPr>
        <w:t xml:space="preserve">Conducted by an individual with no conflict of interest with either party</w:t>
      </w:r>
    </w:p>
    <w:p>
      <w:pPr>
        <w:pStyle w:val="ListParagraph"/>
        <w:numPr>
          <w:ilvl w:val="0"/>
          <w:numId w:val="2"/>
        </w:numPr>
        <w:spacing w:after="60" w:before="60"/>
      </w:pPr>
      <w:r>
        <w:rPr>
          <w:rFonts w:ascii="Arial" w:cs="Arial" w:eastAsia="Arial" w:hAnsi="Arial"/>
          <w:sz w:val="22"/>
          <w:szCs w:val="22"/>
        </w:rPr>
        <w:t xml:space="preserve">Completed within [30 / 60] business days of the report, subject to complexity</w:t>
      </w:r>
    </w:p>
    <w:p>
      <w:pPr>
        <w:pStyle w:val="ListParagraph"/>
        <w:numPr>
          <w:ilvl w:val="0"/>
          <w:numId w:val="2"/>
        </w:numPr>
        <w:spacing w:after="60" w:before="60"/>
      </w:pPr>
      <w:r>
        <w:rPr>
          <w:rFonts w:ascii="Arial" w:cs="Arial" w:eastAsia="Arial" w:hAnsi="Arial"/>
          <w:sz w:val="22"/>
          <w:szCs w:val="22"/>
        </w:rPr>
        <w:t xml:space="preserve">Documented with a written investigation report</w:t>
      </w:r>
    </w:p>
    <w:p>
      <w:pPr>
        <w:pStyle w:val="ListParagraph"/>
        <w:numPr>
          <w:ilvl w:val="0"/>
          <w:numId w:val="2"/>
        </w:numPr>
        <w:spacing w:after="60" w:before="60"/>
      </w:pPr>
      <w:r>
        <w:rPr>
          <w:rFonts w:ascii="Arial" w:cs="Arial" w:eastAsia="Arial" w:hAnsi="Arial"/>
          <w:sz w:val="22"/>
          <w:szCs w:val="22"/>
        </w:rPr>
        <w:t xml:space="preserve">Communicated to the parties in writing with the outcome and any right of appeal</w:t>
      </w:r>
    </w:p>
    <w:p>
      <w:pPr>
        <w:spacing w:after="100" w:before="100"/>
      </w:pPr>
      <w:r>
        <w:t xml:space="preserve"/>
      </w:r>
    </w:p>
    <w:p>
      <w:pPr>
        <w:pStyle w:val="Heading2"/>
        <w:spacing w:after="120" w:before="200"/>
      </w:pPr>
      <w:r>
        <w:rPr>
          <w:rFonts w:ascii="Arial" w:cs="Arial" w:eastAsia="Arial" w:hAnsi="Arial"/>
          <w:b/>
          <w:bCs/>
          <w:color w:val="1A2744"/>
          <w:sz w:val="26"/>
          <w:szCs w:val="26"/>
        </w:rPr>
        <w:t xml:space="preserve">6. Outcomes and F&amp;P Consequences</w:t>
      </w:r>
    </w:p>
    <w:p>
      <w:pPr>
        <w:spacing w:after="80" w:before="80"/>
      </w:pPr>
      <w:r>
        <w:rPr>
          <w:rFonts w:ascii="Arial" w:cs="Arial" w:eastAsia="Arial" w:hAnsi="Arial"/>
          <w:sz w:val="22"/>
          <w:szCs w:val="22"/>
        </w:rPr>
        <w:t xml:space="preserve">A finding of serious non-financial misconduct may result in:</w:t>
      </w:r>
    </w:p>
    <w:p>
      <w:pPr>
        <w:pStyle w:val="ListParagraph"/>
        <w:numPr>
          <w:ilvl w:val="0"/>
          <w:numId w:val="2"/>
        </w:numPr>
        <w:spacing w:after="60" w:before="60"/>
      </w:pPr>
      <w:r>
        <w:rPr>
          <w:rFonts w:ascii="Arial" w:cs="Arial" w:eastAsia="Arial" w:hAnsi="Arial"/>
          <w:sz w:val="22"/>
          <w:szCs w:val="22"/>
        </w:rPr>
        <w:t xml:space="preserve">Disciplinary action up to and including dismissal</w:t>
      </w:r>
    </w:p>
    <w:p>
      <w:pPr>
        <w:pStyle w:val="ListParagraph"/>
        <w:numPr>
          <w:ilvl w:val="0"/>
          <w:numId w:val="2"/>
        </w:numPr>
        <w:spacing w:after="60" w:before="60"/>
      </w:pPr>
      <w:r>
        <w:rPr>
          <w:rFonts w:ascii="Arial" w:cs="Arial" w:eastAsia="Arial" w:hAnsi="Arial"/>
          <w:sz w:val="22"/>
          <w:szCs w:val="22"/>
        </w:rPr>
        <w:t xml:space="preserve">A finding that the individual is not fit and proper to hold their SMF or Certified Person status</w:t>
      </w:r>
    </w:p>
    <w:p>
      <w:pPr>
        <w:pStyle w:val="ListParagraph"/>
        <w:numPr>
          <w:ilvl w:val="0"/>
          <w:numId w:val="2"/>
        </w:numPr>
        <w:spacing w:after="60" w:before="60"/>
      </w:pPr>
      <w:r>
        <w:rPr>
          <w:rFonts w:ascii="Arial" w:cs="Arial" w:eastAsia="Arial" w:hAnsi="Arial"/>
          <w:sz w:val="22"/>
          <w:szCs w:val="22"/>
        </w:rPr>
        <w:t xml:space="preserve">Removal from a Senior Manager Function pending investigation</w:t>
      </w:r>
    </w:p>
    <w:p>
      <w:pPr>
        <w:pStyle w:val="ListParagraph"/>
        <w:numPr>
          <w:ilvl w:val="0"/>
          <w:numId w:val="2"/>
        </w:numPr>
        <w:spacing w:after="60" w:before="60"/>
      </w:pPr>
      <w:r>
        <w:rPr>
          <w:rFonts w:ascii="Arial" w:cs="Arial" w:eastAsia="Arial" w:hAnsi="Arial"/>
          <w:sz w:val="22"/>
          <w:szCs w:val="22"/>
        </w:rPr>
        <w:t xml:space="preserve">Issuance of a regulatory reference under section 63ZA FSMA 2000</w:t>
      </w:r>
    </w:p>
    <w:p>
      <w:pPr>
        <w:pStyle w:val="ListParagraph"/>
        <w:numPr>
          <w:ilvl w:val="0"/>
          <w:numId w:val="2"/>
        </w:numPr>
        <w:spacing w:after="60" w:before="60"/>
      </w:pPr>
      <w:r>
        <w:rPr>
          <w:rFonts w:ascii="Arial" w:cs="Arial" w:eastAsia="Arial" w:hAnsi="Arial"/>
          <w:sz w:val="22"/>
          <w:szCs w:val="22"/>
        </w:rPr>
        <w:t xml:space="preserve">Disclosure to the FCA or PRA where required by the firm's regulatory reporting obligations</w:t>
      </w:r>
    </w:p>
    <w:p>
      <w:pPr>
        <w:spacing w:after="100" w:before="100"/>
      </w:pPr>
      <w:r>
        <w:t xml:space="preserve"/>
      </w:r>
    </w:p>
    <w:p>
      <w:pPr>
        <w:pStyle w:val="Heading2"/>
        <w:spacing w:after="120" w:before="200"/>
      </w:pPr>
      <w:r>
        <w:rPr>
          <w:rFonts w:ascii="Arial" w:cs="Arial" w:eastAsia="Arial" w:hAnsi="Arial"/>
          <w:b/>
          <w:bCs/>
          <w:color w:val="1A2744"/>
          <w:sz w:val="26"/>
          <w:szCs w:val="26"/>
        </w:rPr>
        <w:t xml:space="preserve">7. Anti-Retaliation</w:t>
      </w:r>
    </w:p>
    <w:p>
      <w:pPr>
        <w:spacing w:after="80" w:before="80"/>
      </w:pPr>
      <w:r>
        <w:rPr>
          <w:rFonts w:ascii="Arial" w:cs="Arial" w:eastAsia="Arial" w:hAnsi="Arial"/>
          <w:sz w:val="22"/>
          <w:szCs w:val="22"/>
        </w:rPr>
        <w:t xml:space="preserve">Retaliation against any individual who makes an NFM report in good faith, participates in an investigation, or exercises rights under this Policy is itself a disciplinary matter and may constitute serious misconduct.</w:t>
      </w:r>
    </w:p>
    <w:p>
      <w:pPr>
        <w:spacing w:after="100" w:before="100"/>
      </w:pPr>
      <w:r>
        <w:t xml:space="preserve"/>
      </w:r>
    </w:p>
    <w:p>
      <w:pPr>
        <w:pStyle w:val="Heading2"/>
        <w:spacing w:after="120" w:before="200"/>
      </w:pPr>
      <w:r>
        <w:rPr>
          <w:rFonts w:ascii="Arial" w:cs="Arial" w:eastAsia="Arial" w:hAnsi="Arial"/>
          <w:b/>
          <w:bCs/>
          <w:color w:val="1A2744"/>
          <w:sz w:val="26"/>
          <w:szCs w:val="26"/>
        </w:rPr>
        <w:t xml:space="preserve">8. Annual Review</w:t>
      </w:r>
    </w:p>
    <w:p>
      <w:pPr>
        <w:spacing w:after="80" w:before="80"/>
      </w:pPr>
      <w:r>
        <w:rPr>
          <w:rFonts w:ascii="Arial" w:cs="Arial" w:eastAsia="Arial" w:hAnsi="Arial"/>
          <w:sz w:val="22"/>
          <w:szCs w:val="22"/>
        </w:rPr>
        <w:t xml:space="preserve">This Policy will be reviewed by the Board annually and updated to reflect changes in FCA/PRA rules, regulatory guidance, or operational experience.</w:t>
      </w:r>
    </w:p>
    <w:p>
      <w:pPr>
        <w:pStyle w:val="Heading1"/>
        <w:pageBreakBefore/>
        <w:spacing w:after="200" w:before="240"/>
      </w:pPr>
      <w:r>
        <w:rPr>
          <w:rFonts w:ascii="Arial" w:cs="Arial" w:eastAsia="Arial" w:hAnsi="Arial"/>
          <w:b/>
          <w:bCs/>
          <w:color w:val="1A2744"/>
          <w:sz w:val="32"/>
          <w:szCs w:val="32"/>
        </w:rPr>
        <w:t xml:space="preserve">6. Escalation Framework</w:t>
      </w:r>
    </w:p>
    <w:p>
      <w:pPr>
        <w:spacing w:after="80" w:before="80"/>
      </w:pPr>
      <w:r>
        <w:rPr>
          <w:rFonts w:ascii="Arial" w:cs="Arial" w:eastAsia="Arial" w:hAnsi="Arial"/>
          <w:sz w:val="22"/>
          <w:szCs w:val="22"/>
        </w:rPr>
        <w:t xml:space="preserve">The table below sets out the step-by-step escalation path for NFM reports, from initial receipt through to regulatory recording.</w:t>
      </w:r>
    </w:p>
    <w:p>
      <w:pPr>
        <w:spacing w:after="100" w:before="10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200"/>
        <w:gridCol w:w="2400"/>
        <w:gridCol w:w="6000"/>
      </w:tblGrid>
      <w:tr>
        <w:trPr>
          <w:tblHeader/>
        </w:trPr>
        <w:tc>
          <w:tcPr>
            <w:tcW w:type="dxa" w:w="1200"/>
            <w:tcBorders>
              <w:top w:val="single" w:color="D0D5DD" w:sz="1"/>
              <w:left w:val="single" w:color="D0D5DD" w:sz="1"/>
              <w:bottom w:val="single" w:color="D0D5DD" w:sz="1"/>
              <w:right w:val="single" w:color="D0D5DD" w:sz="1"/>
            </w:tcBorders>
            <w:shd w:fill="1A2744" w:val="clear"/>
            <w:tcMar>
              <w:top w:type="dxa" w:w="80"/>
              <w:left w:type="dxa" w:w="120"/>
              <w:bottom w:type="dxa" w:w="80"/>
              <w:right w:type="dxa" w:w="120"/>
            </w:tcMar>
          </w:tcPr>
          <w:p>
            <w:r>
              <w:rPr>
                <w:rFonts w:ascii="Arial" w:cs="Arial" w:eastAsia="Arial" w:hAnsi="Arial"/>
                <w:b/>
                <w:bCs/>
                <w:color w:val="FFFFFF"/>
                <w:sz w:val="20"/>
                <w:szCs w:val="20"/>
              </w:rPr>
              <w:t xml:space="preserve">Step</w:t>
            </w:r>
          </w:p>
        </w:tc>
        <w:tc>
          <w:tcPr>
            <w:tcW w:type="dxa" w:w="2400"/>
            <w:tcBorders>
              <w:top w:val="single" w:color="D0D5DD" w:sz="1"/>
              <w:left w:val="single" w:color="D0D5DD" w:sz="1"/>
              <w:bottom w:val="single" w:color="D0D5DD" w:sz="1"/>
              <w:right w:val="single" w:color="D0D5DD" w:sz="1"/>
            </w:tcBorders>
            <w:shd w:fill="1A2744" w:val="clear"/>
            <w:tcMar>
              <w:top w:type="dxa" w:w="80"/>
              <w:left w:type="dxa" w:w="120"/>
              <w:bottom w:type="dxa" w:w="80"/>
              <w:right w:type="dxa" w:w="120"/>
            </w:tcMar>
          </w:tcPr>
          <w:p>
            <w:r>
              <w:rPr>
                <w:rFonts w:ascii="Arial" w:cs="Arial" w:eastAsia="Arial" w:hAnsi="Arial"/>
                <w:b/>
                <w:bCs/>
                <w:color w:val="FFFFFF"/>
                <w:sz w:val="20"/>
                <w:szCs w:val="20"/>
              </w:rPr>
              <w:t xml:space="preserve">Stage</w:t>
            </w:r>
          </w:p>
        </w:tc>
        <w:tc>
          <w:tcPr>
            <w:tcW w:type="dxa" w:w="6000"/>
            <w:tcBorders>
              <w:top w:val="single" w:color="D0D5DD" w:sz="1"/>
              <w:left w:val="single" w:color="D0D5DD" w:sz="1"/>
              <w:bottom w:val="single" w:color="D0D5DD" w:sz="1"/>
              <w:right w:val="single" w:color="D0D5DD" w:sz="1"/>
            </w:tcBorders>
            <w:shd w:fill="1A2744" w:val="clear"/>
            <w:tcMar>
              <w:top w:type="dxa" w:w="80"/>
              <w:left w:type="dxa" w:w="120"/>
              <w:bottom w:type="dxa" w:w="80"/>
              <w:right w:type="dxa" w:w="120"/>
            </w:tcMar>
          </w:tcPr>
          <w:p>
            <w:r>
              <w:rPr>
                <w:rFonts w:ascii="Arial" w:cs="Arial" w:eastAsia="Arial" w:hAnsi="Arial"/>
                <w:b/>
                <w:bCs/>
                <w:color w:val="FFFFFF"/>
                <w:sz w:val="20"/>
                <w:szCs w:val="20"/>
              </w:rPr>
              <w:t xml:space="preserve">Action Required</w:t>
            </w:r>
          </w:p>
        </w:tc>
      </w:tr>
      <w:tr>
        <w:tc>
          <w:tcPr>
            <w:tcW w:type="dxa" w:w="12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b/>
                <w:bCs/>
                <w:sz w:val="20"/>
                <w:szCs w:val="20"/>
              </w:rPr>
              <w:t xml:space="preserve">Step 1</w:t>
            </w:r>
          </w:p>
        </w:tc>
        <w:tc>
          <w:tcPr>
            <w:tcW w:type="dxa" w:w="24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sz w:val="20"/>
                <w:szCs w:val="20"/>
              </w:rPr>
              <w:t xml:space="preserve">Report received</w:t>
            </w:r>
          </w:p>
        </w:tc>
        <w:tc>
          <w:tcPr>
            <w:tcW w:type="dxa" w:w="60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sz w:val="20"/>
                <w:szCs w:val="20"/>
              </w:rPr>
              <w:t xml:space="preserve">Any employee, contractor or third party submits a report via confidential NFM channel</w:t>
            </w:r>
          </w:p>
        </w:tc>
      </w:tr>
      <w:tr>
        <w:tc>
          <w:tcPr>
            <w:tcW w:type="dxa" w:w="12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b/>
                <w:bCs/>
                <w:sz w:val="20"/>
                <w:szCs w:val="20"/>
              </w:rPr>
              <w:t xml:space="preserve">Step 2</w:t>
            </w:r>
          </w:p>
        </w:tc>
        <w:tc>
          <w:tcPr>
            <w:tcW w:type="dxa" w:w="24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sz w:val="20"/>
                <w:szCs w:val="20"/>
              </w:rPr>
              <w:t xml:space="preserve">Initial triage</w:t>
            </w:r>
          </w:p>
        </w:tc>
        <w:tc>
          <w:tcPr>
            <w:tcW w:type="dxa" w:w="60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sz w:val="20"/>
                <w:szCs w:val="20"/>
              </w:rPr>
              <w:t xml:space="preserve">HR/Compliance reviews within 2 business days — assess seriousness, identity of subject</w:t>
            </w:r>
          </w:p>
        </w:tc>
      </w:tr>
      <w:tr>
        <w:tc>
          <w:tcPr>
            <w:tcW w:type="dxa" w:w="12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b/>
                <w:bCs/>
                <w:sz w:val="20"/>
                <w:szCs w:val="20"/>
              </w:rPr>
              <w:t xml:space="preserve">Step 3</w:t>
            </w:r>
          </w:p>
        </w:tc>
        <w:tc>
          <w:tcPr>
            <w:tcW w:type="dxa" w:w="24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sz w:val="20"/>
                <w:szCs w:val="20"/>
              </w:rPr>
              <w:t xml:space="preserve">Senior Manager trigger?</w:t>
            </w:r>
          </w:p>
        </w:tc>
        <w:tc>
          <w:tcPr>
            <w:tcW w:type="dxa" w:w="60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sz w:val="20"/>
                <w:szCs w:val="20"/>
              </w:rPr>
              <w:t xml:space="preserve">If subject is an SMF holder or Certified Person, escalate immediately to General Counsel and CEO</w:t>
            </w:r>
          </w:p>
        </w:tc>
      </w:tr>
      <w:tr>
        <w:tc>
          <w:tcPr>
            <w:tcW w:type="dxa" w:w="12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b/>
                <w:bCs/>
                <w:sz w:val="20"/>
                <w:szCs w:val="20"/>
              </w:rPr>
              <w:t xml:space="preserve">Step 4</w:t>
            </w:r>
          </w:p>
        </w:tc>
        <w:tc>
          <w:tcPr>
            <w:tcW w:type="dxa" w:w="24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sz w:val="20"/>
                <w:szCs w:val="20"/>
              </w:rPr>
              <w:t xml:space="preserve">Independent investigation</w:t>
            </w:r>
          </w:p>
        </w:tc>
        <w:tc>
          <w:tcPr>
            <w:tcW w:type="dxa" w:w="60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sz w:val="20"/>
                <w:szCs w:val="20"/>
              </w:rPr>
              <w:t xml:space="preserve">Appoint independent investigator (internal or external). Minimum standard: trained, no conflict of interest</w:t>
            </w:r>
          </w:p>
        </w:tc>
      </w:tr>
      <w:tr>
        <w:tc>
          <w:tcPr>
            <w:tcW w:type="dxa" w:w="12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b/>
                <w:bCs/>
                <w:sz w:val="20"/>
                <w:szCs w:val="20"/>
              </w:rPr>
              <w:t xml:space="preserve">Step 5</w:t>
            </w:r>
          </w:p>
        </w:tc>
        <w:tc>
          <w:tcPr>
            <w:tcW w:type="dxa" w:w="24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sz w:val="20"/>
                <w:szCs w:val="20"/>
              </w:rPr>
              <w:t xml:space="preserve">Board notification</w:t>
            </w:r>
          </w:p>
        </w:tc>
        <w:tc>
          <w:tcPr>
            <w:tcW w:type="dxa" w:w="60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sz w:val="20"/>
                <w:szCs w:val="20"/>
              </w:rPr>
              <w:t xml:space="preserve">Notify Board Chair/Risk Committee Chair if: SMF holder implicated, potential regulatory reference required, or pattern of conduct emerging</w:t>
            </w:r>
          </w:p>
        </w:tc>
      </w:tr>
      <w:tr>
        <w:tc>
          <w:tcPr>
            <w:tcW w:type="dxa" w:w="12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b/>
                <w:bCs/>
                <w:sz w:val="20"/>
                <w:szCs w:val="20"/>
              </w:rPr>
              <w:t xml:space="preserve">Step 6</w:t>
            </w:r>
          </w:p>
        </w:tc>
        <w:tc>
          <w:tcPr>
            <w:tcW w:type="dxa" w:w="24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sz w:val="20"/>
                <w:szCs w:val="20"/>
              </w:rPr>
              <w:t xml:space="preserve">Regulatory reporting</w:t>
            </w:r>
          </w:p>
        </w:tc>
        <w:tc>
          <w:tcPr>
            <w:tcW w:type="dxa" w:w="60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sz w:val="20"/>
                <w:szCs w:val="20"/>
              </w:rPr>
              <w:t xml:space="preserve">Consider: FCA regulatory reference obligations (s.63ZA FSMA), PRA notification, whistleblowing protections</w:t>
            </w:r>
          </w:p>
        </w:tc>
      </w:tr>
      <w:tr>
        <w:tc>
          <w:tcPr>
            <w:tcW w:type="dxa" w:w="12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b/>
                <w:bCs/>
                <w:sz w:val="20"/>
                <w:szCs w:val="20"/>
              </w:rPr>
              <w:t xml:space="preserve">Step 7</w:t>
            </w:r>
          </w:p>
        </w:tc>
        <w:tc>
          <w:tcPr>
            <w:tcW w:type="dxa" w:w="24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sz w:val="20"/>
                <w:szCs w:val="20"/>
              </w:rPr>
              <w:t xml:space="preserve">Outcome and F&amp;P</w:t>
            </w:r>
          </w:p>
        </w:tc>
        <w:tc>
          <w:tcPr>
            <w:tcW w:type="dxa" w:w="60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sz w:val="20"/>
                <w:szCs w:val="20"/>
              </w:rPr>
              <w:t xml:space="preserve">Investigation outcome determines F&amp;P consequence — inform annual certification cycle</w:t>
            </w:r>
          </w:p>
        </w:tc>
      </w:tr>
      <w:tr>
        <w:tc>
          <w:tcPr>
            <w:tcW w:type="dxa" w:w="12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b/>
                <w:bCs/>
                <w:sz w:val="20"/>
                <w:szCs w:val="20"/>
              </w:rPr>
              <w:t xml:space="preserve">Step 8</w:t>
            </w:r>
          </w:p>
        </w:tc>
        <w:tc>
          <w:tcPr>
            <w:tcW w:type="dxa" w:w="24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sz w:val="20"/>
                <w:szCs w:val="20"/>
              </w:rPr>
              <w:t xml:space="preserve">Record to file</w:t>
            </w:r>
          </w:p>
        </w:tc>
        <w:tc>
          <w:tcPr>
            <w:tcW w:type="dxa" w:w="60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sz w:val="20"/>
                <w:szCs w:val="20"/>
              </w:rPr>
              <w:t xml:space="preserve">Full investigation record retained. Regulatory reference register updated if applicable</w:t>
            </w:r>
          </w:p>
        </w:tc>
      </w:tr>
    </w:tbl>
    <w:p>
      <w:pPr>
        <w:pStyle w:val="Heading1"/>
        <w:pageBreakBefore/>
        <w:spacing w:after="200" w:before="240"/>
      </w:pPr>
      <w:r>
        <w:rPr>
          <w:rFonts w:ascii="Arial" w:cs="Arial" w:eastAsia="Arial" w:hAnsi="Arial"/>
          <w:b/>
          <w:bCs/>
          <w:color w:val="1A2744"/>
          <w:sz w:val="32"/>
          <w:szCs w:val="32"/>
        </w:rPr>
        <w:t xml:space="preserve">7. Fit and Proper Assessment Update</w:t>
      </w:r>
    </w:p>
    <w:p>
      <w:pPr>
        <w:pStyle w:val="Heading2"/>
        <w:spacing w:after="120" w:before="200"/>
      </w:pPr>
      <w:r>
        <w:rPr>
          <w:rFonts w:ascii="Arial" w:cs="Arial" w:eastAsia="Arial" w:hAnsi="Arial"/>
          <w:b/>
          <w:bCs/>
          <w:color w:val="1A2744"/>
          <w:sz w:val="26"/>
          <w:szCs w:val="26"/>
        </w:rPr>
        <w:t xml:space="preserve">Updated F&amp;P Assessment Criteria</w:t>
      </w:r>
    </w:p>
    <w:p>
      <w:pPr>
        <w:spacing w:after="80" w:before="80"/>
      </w:pPr>
      <w:r>
        <w:rPr>
          <w:rFonts w:ascii="Arial" w:cs="Arial" w:eastAsia="Arial" w:hAnsi="Arial"/>
          <w:sz w:val="22"/>
          <w:szCs w:val="22"/>
        </w:rPr>
        <w:t xml:space="preserve">The firm's annual F&amp;P assessment template for SMF holders and Certified Persons should be updated to include the following NFM-specific elements:</w:t>
      </w:r>
    </w:p>
    <w:p>
      <w:pPr>
        <w:spacing w:after="100" w:before="10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5000"/>
        <w:gridCol w:w="4600"/>
      </w:tblGrid>
      <w:tr>
        <w:trPr>
          <w:tblHeader/>
        </w:trPr>
        <w:tc>
          <w:tcPr>
            <w:tcW w:type="dxa" w:w="5000"/>
            <w:tcBorders>
              <w:top w:val="single" w:color="D0D5DD" w:sz="1"/>
              <w:left w:val="single" w:color="D0D5DD" w:sz="1"/>
              <w:bottom w:val="single" w:color="D0D5DD" w:sz="1"/>
              <w:right w:val="single" w:color="D0D5DD" w:sz="1"/>
            </w:tcBorders>
            <w:shd w:fill="1A2744" w:val="clear"/>
            <w:tcMar>
              <w:top w:type="dxa" w:w="80"/>
              <w:left w:type="dxa" w:w="120"/>
              <w:bottom w:type="dxa" w:w="80"/>
              <w:right w:type="dxa" w:w="120"/>
            </w:tcMar>
          </w:tcPr>
          <w:p>
            <w:r>
              <w:rPr>
                <w:rFonts w:ascii="Arial" w:cs="Arial" w:eastAsia="Arial" w:hAnsi="Arial"/>
                <w:b/>
                <w:bCs/>
                <w:color w:val="FFFFFF"/>
                <w:sz w:val="20"/>
                <w:szCs w:val="20"/>
              </w:rPr>
              <w:t xml:space="preserve">NFM Disclosure Question</w:t>
            </w:r>
          </w:p>
        </w:tc>
        <w:tc>
          <w:tcPr>
            <w:tcW w:type="dxa" w:w="4600"/>
            <w:tcBorders>
              <w:top w:val="single" w:color="D0D5DD" w:sz="1"/>
              <w:left w:val="single" w:color="D0D5DD" w:sz="1"/>
              <w:bottom w:val="single" w:color="D0D5DD" w:sz="1"/>
              <w:right w:val="single" w:color="D0D5DD" w:sz="1"/>
            </w:tcBorders>
            <w:shd w:fill="1A2744" w:val="clear"/>
            <w:tcMar>
              <w:top w:type="dxa" w:w="80"/>
              <w:left w:type="dxa" w:w="120"/>
              <w:bottom w:type="dxa" w:w="80"/>
              <w:right w:type="dxa" w:w="120"/>
            </w:tcMar>
          </w:tcPr>
          <w:p>
            <w:r>
              <w:rPr>
                <w:rFonts w:ascii="Arial" w:cs="Arial" w:eastAsia="Arial" w:hAnsi="Arial"/>
                <w:b/>
                <w:bCs/>
                <w:color w:val="FFFFFF"/>
                <w:sz w:val="20"/>
                <w:szCs w:val="20"/>
              </w:rPr>
              <w:t xml:space="preserve">Assessment Guidance</w:t>
            </w:r>
          </w:p>
        </w:tc>
      </w:tr>
      <w:tr>
        <w:tc>
          <w:tcPr>
            <w:tcW w:type="dxa" w:w="5000"/>
            <w:tcBorders>
              <w:top w:val="single" w:color="D0D5DD" w:sz="1"/>
              <w:left w:val="single" w:color="D0D5DD" w:sz="1"/>
              <w:bottom w:val="single" w:color="D0D5DD" w:sz="1"/>
              <w:right w:val="single" w:color="D0D5DD" w:sz="1"/>
            </w:tcBorders>
            <w:tcMar>
              <w:top w:type="dxa" w:w="80"/>
              <w:left w:type="dxa" w:w="120"/>
              <w:bottom w:type="dxa" w:w="80"/>
              <w:right w:type="dxa" w:w="120"/>
            </w:tcMar>
          </w:tcPr>
          <w:p>
            <w:r>
              <w:rPr>
                <w:rFonts w:ascii="Arial" w:cs="Arial" w:eastAsia="Arial" w:hAnsi="Arial"/>
                <w:sz w:val="20"/>
                <w:szCs w:val="20"/>
              </w:rPr>
              <w:t xml:space="preserve">Have you been the subject of any NFM allegation, investigation, or finding in the last 3 years?</w:t>
            </w:r>
          </w:p>
        </w:tc>
        <w:tc>
          <w:tcPr>
            <w:tcW w:type="dxa" w:w="4600"/>
            <w:tcBorders>
              <w:top w:val="single" w:color="D0D5DD" w:sz="1"/>
              <w:left w:val="single" w:color="D0D5DD" w:sz="1"/>
              <w:bottom w:val="single" w:color="D0D5DD" w:sz="1"/>
              <w:right w:val="single" w:color="D0D5DD" w:sz="1"/>
            </w:tcBorders>
            <w:tcMar>
              <w:top w:type="dxa" w:w="80"/>
              <w:left w:type="dxa" w:w="120"/>
              <w:bottom w:type="dxa" w:w="80"/>
              <w:right w:type="dxa" w:w="120"/>
            </w:tcMar>
          </w:tcPr>
          <w:p>
            <w:r>
              <w:rPr>
                <w:rFonts w:ascii="Arial" w:cs="Arial" w:eastAsia="Arial" w:hAnsi="Arial"/>
                <w:sz w:val="20"/>
                <w:szCs w:val="20"/>
              </w:rPr>
              <w:t xml:space="preserve">Upheld finding = enhanced review. Unsubstantiated allegation = note and monitor.</w:t>
            </w:r>
          </w:p>
        </w:tc>
      </w:tr>
      <w:tr>
        <w:tc>
          <w:tcPr>
            <w:tcW w:type="dxa" w:w="50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sz w:val="20"/>
                <w:szCs w:val="20"/>
              </w:rPr>
              <w:t xml:space="preserve">Have you been subject to any disciplinary action in any employment (not only this firm) in the last 3 years?</w:t>
            </w:r>
          </w:p>
        </w:tc>
        <w:tc>
          <w:tcPr>
            <w:tcW w:type="dxa" w:w="46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sz w:val="20"/>
                <w:szCs w:val="20"/>
              </w:rPr>
              <w:t xml:space="preserve">Review regulatory reference from prior employer. Consider whether conduct reflects on integrity.</w:t>
            </w:r>
          </w:p>
        </w:tc>
      </w:tr>
      <w:tr>
        <w:tc>
          <w:tcPr>
            <w:tcW w:type="dxa" w:w="5000"/>
            <w:tcBorders>
              <w:top w:val="single" w:color="D0D5DD" w:sz="1"/>
              <w:left w:val="single" w:color="D0D5DD" w:sz="1"/>
              <w:bottom w:val="single" w:color="D0D5DD" w:sz="1"/>
              <w:right w:val="single" w:color="D0D5DD" w:sz="1"/>
            </w:tcBorders>
            <w:tcMar>
              <w:top w:type="dxa" w:w="80"/>
              <w:left w:type="dxa" w:w="120"/>
              <w:bottom w:type="dxa" w:w="80"/>
              <w:right w:type="dxa" w:w="120"/>
            </w:tcMar>
          </w:tcPr>
          <w:p>
            <w:r>
              <w:rPr>
                <w:rFonts w:ascii="Arial" w:cs="Arial" w:eastAsia="Arial" w:hAnsi="Arial"/>
                <w:sz w:val="20"/>
                <w:szCs w:val="20"/>
              </w:rPr>
              <w:t xml:space="preserve">Are you aware of any NFM concern raised about your conduct that has not been formally reported?</w:t>
            </w:r>
          </w:p>
        </w:tc>
        <w:tc>
          <w:tcPr>
            <w:tcW w:type="dxa" w:w="4600"/>
            <w:tcBorders>
              <w:top w:val="single" w:color="D0D5DD" w:sz="1"/>
              <w:left w:val="single" w:color="D0D5DD" w:sz="1"/>
              <w:bottom w:val="single" w:color="D0D5DD" w:sz="1"/>
              <w:right w:val="single" w:color="D0D5DD" w:sz="1"/>
            </w:tcBorders>
            <w:tcMar>
              <w:top w:type="dxa" w:w="80"/>
              <w:left w:type="dxa" w:w="120"/>
              <w:bottom w:type="dxa" w:w="80"/>
              <w:right w:type="dxa" w:w="120"/>
            </w:tcMar>
          </w:tcPr>
          <w:p>
            <w:r>
              <w:rPr>
                <w:rFonts w:ascii="Arial" w:cs="Arial" w:eastAsia="Arial" w:hAnsi="Arial"/>
                <w:sz w:val="20"/>
                <w:szCs w:val="20"/>
              </w:rPr>
              <w:t xml:space="preserve">Encourages self-disclosure. Non-disclosure itself may be relevant to honesty assessment.</w:t>
            </w:r>
          </w:p>
        </w:tc>
      </w:tr>
    </w:tbl>
    <w:p>
      <w:pPr>
        <w:spacing w:after="100" w:before="100"/>
      </w:pPr>
      <w:r>
        <w:t xml:space="preserve"/>
      </w:r>
    </w:p>
    <w:p>
      <w:pPr>
        <w:pStyle w:val="Heading2"/>
        <w:spacing w:after="120" w:before="200"/>
      </w:pPr>
      <w:r>
        <w:rPr>
          <w:rFonts w:ascii="Arial" w:cs="Arial" w:eastAsia="Arial" w:hAnsi="Arial"/>
          <w:b/>
          <w:bCs/>
          <w:color w:val="1A2744"/>
          <w:sz w:val="26"/>
          <w:szCs w:val="26"/>
        </w:rPr>
        <w:t xml:space="preserve">The Reasonable Steps Defence</w:t>
      </w:r>
    </w:p>
    <w:p>
      <w:pPr>
        <w:spacing w:after="80" w:before="80"/>
      </w:pPr>
      <w:r>
        <w:rPr>
          <w:rFonts w:ascii="Arial" w:cs="Arial" w:eastAsia="Arial" w:hAnsi="Arial"/>
          <w:sz w:val="22"/>
          <w:szCs w:val="22"/>
        </w:rPr>
        <w:t xml:space="preserve">Under SMCR, a Senior Manager may have a defence to regulatory action if they can demonstrate they took reasonable steps to prevent a breach. In an NFM context, reasonable steps include:</w:t>
      </w:r>
    </w:p>
    <w:p>
      <w:pPr>
        <w:pStyle w:val="ListParagraph"/>
        <w:numPr>
          <w:ilvl w:val="0"/>
          <w:numId w:val="2"/>
        </w:numPr>
        <w:spacing w:after="60" w:before="60"/>
      </w:pPr>
      <w:r>
        <w:rPr>
          <w:rFonts w:ascii="Arial" w:cs="Arial" w:eastAsia="Arial" w:hAnsi="Arial"/>
          <w:sz w:val="22"/>
          <w:szCs w:val="22"/>
        </w:rPr>
        <w:t xml:space="preserve">Maintaining and applying a documented NFM policy</w:t>
      </w:r>
    </w:p>
    <w:p>
      <w:pPr>
        <w:pStyle w:val="ListParagraph"/>
        <w:numPr>
          <w:ilvl w:val="0"/>
          <w:numId w:val="2"/>
        </w:numPr>
        <w:spacing w:after="60" w:before="60"/>
      </w:pPr>
      <w:r>
        <w:rPr>
          <w:rFonts w:ascii="Arial" w:cs="Arial" w:eastAsia="Arial" w:hAnsi="Arial"/>
          <w:sz w:val="22"/>
          <w:szCs w:val="22"/>
        </w:rPr>
        <w:t xml:space="preserve">Ensuring escalation channels are operational and known to staff</w:t>
      </w:r>
    </w:p>
    <w:p>
      <w:pPr>
        <w:pStyle w:val="ListParagraph"/>
        <w:numPr>
          <w:ilvl w:val="0"/>
          <w:numId w:val="2"/>
        </w:numPr>
        <w:spacing w:after="60" w:before="60"/>
      </w:pPr>
      <w:r>
        <w:rPr>
          <w:rFonts w:ascii="Arial" w:cs="Arial" w:eastAsia="Arial" w:hAnsi="Arial"/>
          <w:sz w:val="22"/>
          <w:szCs w:val="22"/>
        </w:rPr>
        <w:t xml:space="preserve">Acting on NFM reports promptly and proportionately</w:t>
      </w:r>
    </w:p>
    <w:p>
      <w:pPr>
        <w:pStyle w:val="ListParagraph"/>
        <w:numPr>
          <w:ilvl w:val="0"/>
          <w:numId w:val="2"/>
        </w:numPr>
        <w:spacing w:after="60" w:before="60"/>
      </w:pPr>
      <w:r>
        <w:rPr>
          <w:rFonts w:ascii="Arial" w:cs="Arial" w:eastAsia="Arial" w:hAnsi="Arial"/>
          <w:sz w:val="22"/>
          <w:szCs w:val="22"/>
        </w:rPr>
        <w:t xml:space="preserve">Creating a culture where NFM concerns can be raised without fear of retaliation</w:t>
      </w:r>
    </w:p>
    <w:p>
      <w:pPr>
        <w:spacing w:after="80" w:before="80"/>
      </w:pPr>
      <w:r>
        <w:rPr>
          <w:rFonts w:ascii="Arial" w:cs="Arial" w:eastAsia="Arial" w:hAnsi="Arial"/>
          <w:sz w:val="22"/>
          <w:szCs w:val="22"/>
        </w:rPr>
        <w:t xml:space="preserve">Documentation is critical. The reasonable steps defence is only credible if supported by contemporaneous records.</w:t>
      </w:r>
    </w:p>
    <w:p>
      <w:pPr>
        <w:pStyle w:val="Heading1"/>
        <w:pageBreakBefore/>
        <w:spacing w:after="200" w:before="240"/>
      </w:pPr>
      <w:r>
        <w:rPr>
          <w:rFonts w:ascii="Arial" w:cs="Arial" w:eastAsia="Arial" w:hAnsi="Arial"/>
          <w:b/>
          <w:bCs/>
          <w:color w:val="1A2744"/>
          <w:sz w:val="32"/>
          <w:szCs w:val="32"/>
        </w:rPr>
        <w:t xml:space="preserve">8. Board Questions — What to Ask Management</w:t>
      </w:r>
    </w:p>
    <w:p>
      <w:pPr>
        <w:spacing w:after="80" w:before="80"/>
      </w:pPr>
      <w:r>
        <w:rPr>
          <w:rFonts w:ascii="Arial" w:cs="Arial" w:eastAsia="Arial" w:hAnsi="Arial"/>
          <w:sz w:val="22"/>
          <w:szCs w:val="22"/>
        </w:rPr>
        <w:t xml:space="preserve">The following questions should be put to management — and answered in writing — before 1 September 2026.</w:t>
      </w:r>
    </w:p>
    <w:p>
      <w:pPr>
        <w:spacing w:after="100" w:before="100"/>
      </w:pPr>
      <w:r>
        <w:t xml:space="preserve"/>
      </w:r>
    </w:p>
    <w:p>
      <w:pPr>
        <w:pStyle w:val="ListParagraph"/>
        <w:numPr>
          <w:ilvl w:val="0"/>
          <w:numId w:val="3"/>
        </w:numPr>
        <w:spacing w:after="60" w:before="60"/>
      </w:pPr>
      <w:r>
        <w:rPr>
          <w:rFonts w:ascii="Arial" w:cs="Arial" w:eastAsia="Arial" w:hAnsi="Arial"/>
          <w:sz w:val="22"/>
          <w:szCs w:val="22"/>
        </w:rPr>
        <w:t xml:space="preserve">Has our NFM policy been reviewed against FCA PS23/4 and approved by the board within the last 12 months?</w:t>
      </w:r>
    </w:p>
    <w:p>
      <w:pPr>
        <w:pStyle w:val="ListParagraph"/>
        <w:numPr>
          <w:ilvl w:val="0"/>
          <w:numId w:val="3"/>
        </w:numPr>
        <w:spacing w:after="60" w:before="60"/>
      </w:pPr>
      <w:r>
        <w:rPr>
          <w:rFonts w:ascii="Arial" w:cs="Arial" w:eastAsia="Arial" w:hAnsi="Arial"/>
          <w:sz w:val="22"/>
          <w:szCs w:val="22"/>
        </w:rPr>
        <w:t xml:space="preserve">How many NFM reports were received in the last 12 months, and what were the outcomes of each?</w:t>
      </w:r>
    </w:p>
    <w:p>
      <w:pPr>
        <w:pStyle w:val="ListParagraph"/>
        <w:numPr>
          <w:ilvl w:val="0"/>
          <w:numId w:val="3"/>
        </w:numPr>
        <w:spacing w:after="60" w:before="60"/>
      </w:pPr>
      <w:r>
        <w:rPr>
          <w:rFonts w:ascii="Arial" w:cs="Arial" w:eastAsia="Arial" w:hAnsi="Arial"/>
          <w:sz w:val="22"/>
          <w:szCs w:val="22"/>
        </w:rPr>
        <w:t xml:space="preserve">Are all SMF holders and Certified Persons assessed for NFM as part of our annual Fit and Proper process?</w:t>
      </w:r>
    </w:p>
    <w:p>
      <w:pPr>
        <w:pStyle w:val="ListParagraph"/>
        <w:numPr>
          <w:ilvl w:val="0"/>
          <w:numId w:val="3"/>
        </w:numPr>
        <w:spacing w:after="60" w:before="60"/>
      </w:pPr>
      <w:r>
        <w:rPr>
          <w:rFonts w:ascii="Arial" w:cs="Arial" w:eastAsia="Arial" w:hAnsi="Arial"/>
          <w:sz w:val="22"/>
          <w:szCs w:val="22"/>
        </w:rPr>
        <w:t xml:space="preserve">Who is the named Senior Manager accountable for NFM policy and escalation, and how is this reflected in their Statement of Responsibilities?</w:t>
      </w:r>
    </w:p>
    <w:p>
      <w:pPr>
        <w:pStyle w:val="ListParagraph"/>
        <w:numPr>
          <w:ilvl w:val="0"/>
          <w:numId w:val="3"/>
        </w:numPr>
        <w:spacing w:after="60" w:before="60"/>
      </w:pPr>
      <w:r>
        <w:rPr>
          <w:rFonts w:ascii="Arial" w:cs="Arial" w:eastAsia="Arial" w:hAnsi="Arial"/>
          <w:sz w:val="22"/>
          <w:szCs w:val="22"/>
        </w:rPr>
        <w:t xml:space="preserve">What training have the board and senior management received on NFM obligations in the last 12 months?</w:t>
      </w:r>
    </w:p>
    <w:p>
      <w:pPr>
        <w:pStyle w:val="ListParagraph"/>
        <w:numPr>
          <w:ilvl w:val="0"/>
          <w:numId w:val="3"/>
        </w:numPr>
        <w:spacing w:after="60" w:before="60"/>
      </w:pPr>
      <w:r>
        <w:rPr>
          <w:rFonts w:ascii="Arial" w:cs="Arial" w:eastAsia="Arial" w:hAnsi="Arial"/>
          <w:sz w:val="22"/>
          <w:szCs w:val="22"/>
        </w:rPr>
        <w:t xml:space="preserve">How does our whistleblowing policy interface with NFM reporting — are they the same channel, and is the NFM channel anonymous?</w:t>
      </w:r>
    </w:p>
    <w:p>
      <w:pPr>
        <w:pStyle w:val="ListParagraph"/>
        <w:numPr>
          <w:ilvl w:val="0"/>
          <w:numId w:val="3"/>
        </w:numPr>
        <w:spacing w:after="60" w:before="60"/>
      </w:pPr>
      <w:r>
        <w:rPr>
          <w:rFonts w:ascii="Arial" w:cs="Arial" w:eastAsia="Arial" w:hAnsi="Arial"/>
          <w:sz w:val="22"/>
          <w:szCs w:val="22"/>
        </w:rPr>
        <w:t xml:space="preserve">Have any NFM matters arisen in the last 12 months that should have been escalated to the board but were not?</w:t>
      </w:r>
    </w:p>
    <w:p>
      <w:pPr>
        <w:pStyle w:val="ListParagraph"/>
        <w:numPr>
          <w:ilvl w:val="0"/>
          <w:numId w:val="3"/>
        </w:numPr>
        <w:spacing w:after="60" w:before="60"/>
      </w:pPr>
      <w:r>
        <w:rPr>
          <w:rFonts w:ascii="Arial" w:cs="Arial" w:eastAsia="Arial" w:hAnsi="Arial"/>
          <w:sz w:val="22"/>
          <w:szCs w:val="22"/>
        </w:rPr>
        <w:t xml:space="preserve">Are our contractor and supplier relationships covered by our NFM conduct expectations?</w:t>
      </w:r>
    </w:p>
    <w:p>
      <w:pPr>
        <w:pStyle w:val="ListParagraph"/>
        <w:numPr>
          <w:ilvl w:val="0"/>
          <w:numId w:val="3"/>
        </w:numPr>
        <w:spacing w:after="60" w:before="60"/>
      </w:pPr>
      <w:r>
        <w:rPr>
          <w:rFonts w:ascii="Arial" w:cs="Arial" w:eastAsia="Arial" w:hAnsi="Arial"/>
          <w:sz w:val="22"/>
          <w:szCs w:val="22"/>
        </w:rPr>
        <w:t xml:space="preserve">What would trigger a section 63ZA regulatory reference in an NFM context — who makes that decision and on what basis?</w:t>
      </w:r>
    </w:p>
    <w:p>
      <w:pPr>
        <w:pStyle w:val="ListParagraph"/>
        <w:numPr>
          <w:ilvl w:val="0"/>
          <w:numId w:val="3"/>
        </w:numPr>
        <w:spacing w:after="60" w:before="60"/>
      </w:pPr>
      <w:r>
        <w:rPr>
          <w:rFonts w:ascii="Arial" w:cs="Arial" w:eastAsia="Arial" w:hAnsi="Arial"/>
          <w:sz w:val="22"/>
          <w:szCs w:val="22"/>
        </w:rPr>
        <w:t xml:space="preserve">Is our investigation process sufficiently independent — who conducts investigations into allegations against SMF holders, and how is independence assured?</w:t>
      </w:r>
    </w:p>
    <w:p>
      <w:pPr>
        <w:pStyle w:val="Heading1"/>
        <w:pageBreakBefore/>
        <w:spacing w:after="200" w:before="240"/>
      </w:pPr>
      <w:r>
        <w:rPr>
          <w:rFonts w:ascii="Arial" w:cs="Arial" w:eastAsia="Arial" w:hAnsi="Arial"/>
          <w:b/>
          <w:bCs/>
          <w:color w:val="1A2744"/>
          <w:sz w:val="32"/>
          <w:szCs w:val="32"/>
        </w:rPr>
        <w:t xml:space="preserve">9. Key Regulatory References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200"/>
        <w:gridCol w:w="6400"/>
      </w:tblGrid>
      <w:tr>
        <w:trPr>
          <w:tblHeader/>
        </w:trPr>
        <w:tc>
          <w:tcPr>
            <w:tcW w:type="dxa" w:w="3200"/>
            <w:tcBorders>
              <w:top w:val="single" w:color="D0D5DD" w:sz="1"/>
              <w:left w:val="single" w:color="D0D5DD" w:sz="1"/>
              <w:bottom w:val="single" w:color="D0D5DD" w:sz="1"/>
              <w:right w:val="single" w:color="D0D5DD" w:sz="1"/>
            </w:tcBorders>
            <w:shd w:fill="1A2744" w:val="clear"/>
            <w:tcMar>
              <w:top w:type="dxa" w:w="80"/>
              <w:left w:type="dxa" w:w="120"/>
              <w:bottom w:type="dxa" w:w="80"/>
              <w:right w:type="dxa" w:w="120"/>
            </w:tcMar>
          </w:tcPr>
          <w:p>
            <w:r>
              <w:rPr>
                <w:rFonts w:ascii="Arial" w:cs="Arial" w:eastAsia="Arial" w:hAnsi="Arial"/>
                <w:b/>
                <w:bCs/>
                <w:color w:val="FFFFFF"/>
                <w:sz w:val="20"/>
                <w:szCs w:val="20"/>
              </w:rPr>
              <w:t xml:space="preserve">Reference</w:t>
            </w:r>
          </w:p>
        </w:tc>
        <w:tc>
          <w:tcPr>
            <w:tcW w:type="dxa" w:w="6400"/>
            <w:tcBorders>
              <w:top w:val="single" w:color="D0D5DD" w:sz="1"/>
              <w:left w:val="single" w:color="D0D5DD" w:sz="1"/>
              <w:bottom w:val="single" w:color="D0D5DD" w:sz="1"/>
              <w:right w:val="single" w:color="D0D5DD" w:sz="1"/>
            </w:tcBorders>
            <w:shd w:fill="1A2744" w:val="clear"/>
            <w:tcMar>
              <w:top w:type="dxa" w:w="80"/>
              <w:left w:type="dxa" w:w="120"/>
              <w:bottom w:type="dxa" w:w="80"/>
              <w:right w:type="dxa" w:w="120"/>
            </w:tcMar>
          </w:tcPr>
          <w:p>
            <w:r>
              <w:rPr>
                <w:rFonts w:ascii="Arial" w:cs="Arial" w:eastAsia="Arial" w:hAnsi="Arial"/>
                <w:b/>
                <w:bCs/>
                <w:color w:val="FFFFFF"/>
                <w:sz w:val="20"/>
                <w:szCs w:val="20"/>
              </w:rPr>
              <w:t xml:space="preserve">Relevance</w:t>
            </w:r>
          </w:p>
        </w:tc>
      </w:tr>
      <w:tr>
        <w:tc>
          <w:tcPr>
            <w:tcW w:type="dxa" w:w="30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b/>
                <w:bCs/>
                <w:sz w:val="20"/>
                <w:szCs w:val="20"/>
              </w:rPr>
              <w:t xml:space="preserve">FCA PS23/4</w:t>
            </w:r>
          </w:p>
        </w:tc>
        <w:tc>
          <w:tcPr>
            <w:tcW w:type="dxa" w:w="66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sz w:val="20"/>
                <w:szCs w:val="20"/>
              </w:rPr>
              <w:t xml:space="preserve">Policy Statement finalising NFM rules and confirming inclusion in Fit and Proper framework. Primary reference for all NFM obligations.</w:t>
            </w:r>
          </w:p>
        </w:tc>
      </w:tr>
      <w:tr>
        <w:tc>
          <w:tcPr>
            <w:tcW w:type="dxa" w:w="30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b/>
                <w:bCs/>
                <w:sz w:val="20"/>
                <w:szCs w:val="20"/>
              </w:rPr>
              <w:t xml:space="preserve">FCA CP23/20</w:t>
            </w:r>
          </w:p>
        </w:tc>
        <w:tc>
          <w:tcPr>
            <w:tcW w:type="dxa" w:w="66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sz w:val="20"/>
                <w:szCs w:val="20"/>
              </w:rPr>
              <w:t xml:space="preserve">Original consultation paper — useful for understanding FCA's policy rationale and rejected approaches.</w:t>
            </w:r>
          </w:p>
        </w:tc>
      </w:tr>
      <w:tr>
        <w:tc>
          <w:tcPr>
            <w:tcW w:type="dxa" w:w="30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b/>
                <w:bCs/>
                <w:sz w:val="20"/>
                <w:szCs w:val="20"/>
              </w:rPr>
              <w:t xml:space="preserve">FCA COCON 2.1</w:t>
            </w:r>
          </w:p>
        </w:tc>
        <w:tc>
          <w:tcPr>
            <w:tcW w:type="dxa" w:w="66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sz w:val="20"/>
                <w:szCs w:val="20"/>
              </w:rPr>
              <w:t xml:space="preserve">Code of Conduct Sourcebook — individual conduct standards applicable to all SMCR staff, including NFM-relevant conduct.</w:t>
            </w:r>
          </w:p>
        </w:tc>
      </w:tr>
      <w:tr>
        <w:tc>
          <w:tcPr>
            <w:tcW w:type="dxa" w:w="30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b/>
                <w:bCs/>
                <w:sz w:val="20"/>
                <w:szCs w:val="20"/>
              </w:rPr>
              <w:t xml:space="preserve">FCA FIT 2.1</w:t>
            </w:r>
          </w:p>
        </w:tc>
        <w:tc>
          <w:tcPr>
            <w:tcW w:type="dxa" w:w="66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sz w:val="20"/>
                <w:szCs w:val="20"/>
              </w:rPr>
              <w:t xml:space="preserve">Fit and Proper sourcebook — updated to include NFM as a relevant consideration in honesty and integrity assessment.</w:t>
            </w:r>
          </w:p>
        </w:tc>
      </w:tr>
      <w:tr>
        <w:tc>
          <w:tcPr>
            <w:tcW w:type="dxa" w:w="30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b/>
                <w:bCs/>
                <w:sz w:val="20"/>
                <w:szCs w:val="20"/>
              </w:rPr>
              <w:t xml:space="preserve">PRA SS28/15</w:t>
            </w:r>
          </w:p>
        </w:tc>
        <w:tc>
          <w:tcPr>
            <w:tcW w:type="dxa" w:w="66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sz w:val="20"/>
                <w:szCs w:val="20"/>
              </w:rPr>
              <w:t xml:space="preserve">PRA Supervisory Statement on Fitness and Propriety — parallel PRA expectations for dual-regulated firms.</w:t>
            </w:r>
          </w:p>
        </w:tc>
      </w:tr>
      <w:tr>
        <w:tc>
          <w:tcPr>
            <w:tcW w:type="dxa" w:w="30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b/>
                <w:bCs/>
                <w:sz w:val="20"/>
                <w:szCs w:val="20"/>
              </w:rPr>
              <w:t xml:space="preserve">s.63ZA FSMA 2000</w:t>
            </w:r>
          </w:p>
        </w:tc>
        <w:tc>
          <w:tcPr>
            <w:tcW w:type="dxa" w:w="66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sz w:val="20"/>
                <w:szCs w:val="20"/>
              </w:rPr>
              <w:t xml:space="preserve">Regulatory reference obligations — requires disclosure of serious misconduct (including NFM) in employment references for SMCR-in-scope roles.</w:t>
            </w:r>
          </w:p>
        </w:tc>
      </w:tr>
      <w:tr>
        <w:tc>
          <w:tcPr>
            <w:tcW w:type="dxa" w:w="30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b/>
                <w:bCs/>
                <w:sz w:val="20"/>
                <w:szCs w:val="20"/>
              </w:rPr>
              <w:t xml:space="preserve">Equality Act 2010</w:t>
            </w:r>
          </w:p>
        </w:tc>
        <w:tc>
          <w:tcPr>
            <w:tcW w:type="dxa" w:w="66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sz w:val="20"/>
                <w:szCs w:val="20"/>
              </w:rPr>
              <w:t xml:space="preserve">Many NFM categories (harassment, discrimination) overlap with Equality Act protected characteristics. Policies must be consistent with both regimes.</w:t>
            </w:r>
          </w:p>
        </w:tc>
      </w:tr>
      <w:tr>
        <w:tc>
          <w:tcPr>
            <w:tcW w:type="dxa" w:w="30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b/>
                <w:bCs/>
                <w:sz w:val="20"/>
                <w:szCs w:val="20"/>
              </w:rPr>
              <w:t xml:space="preserve">FCA Dear CEO Letter (2023)</w:t>
            </w:r>
          </w:p>
        </w:tc>
        <w:tc>
          <w:tcPr>
            <w:tcW w:type="dxa" w:w="6600"/>
            <w:tcBorders>
              <w:top w:val="single" w:color="D0D5DD" w:sz="1"/>
              <w:left w:val="single" w:color="D0D5DD" w:sz="1"/>
              <w:bottom w:val="single" w:color="D0D5DD" w:sz="1"/>
              <w:right w:val="single" w:color="D0D5DD" w:sz="1"/>
            </w:tcBorders>
            <w:shd w:fill="F2F4F7" w:val="clear"/>
            <w:tcMar>
              <w:top w:type="dxa" w:w="80"/>
              <w:left w:type="dxa" w:w="120"/>
              <w:bottom w:type="dxa" w:w="80"/>
              <w:right w:type="dxa" w:w="120"/>
            </w:tcMar>
          </w:tcPr>
          <w:p>
            <w:r>
              <w:rPr>
                <w:rFonts w:ascii="Arial" w:cs="Arial" w:eastAsia="Arial" w:hAnsi="Arial"/>
                <w:sz w:val="20"/>
                <w:szCs w:val="20"/>
              </w:rPr>
              <w:t xml:space="preserve">FCA supervisory expectations on firm culture and NFM — sets out the FCA's supervisory approach ahead of the 2026 rule implementation.</w:t>
            </w:r>
          </w:p>
        </w:tc>
      </w:tr>
    </w:tbl>
    <w:p>
      <w:pPr>
        <w:pStyle w:val="Heading1"/>
        <w:pageBreakBefore/>
        <w:spacing w:after="200" w:before="240"/>
      </w:pPr>
      <w:r>
        <w:rPr>
          <w:rFonts w:ascii="Arial" w:cs="Arial" w:eastAsia="Arial" w:hAnsi="Arial"/>
          <w:b/>
          <w:bCs/>
          <w:color w:val="1A2744"/>
          <w:sz w:val="32"/>
          <w:szCs w:val="32"/>
        </w:rPr>
        <w:t xml:space="preserve">10. About INFORMD</w:t>
      </w:r>
    </w:p>
    <w:p>
      <w:pPr>
        <w:spacing w:after="80" w:before="80"/>
      </w:pPr>
      <w:r>
        <w:rPr>
          <w:rFonts w:ascii="Arial" w:cs="Arial" w:eastAsia="Arial" w:hAnsi="Arial"/>
          <w:sz w:val="22"/>
          <w:szCs w:val="22"/>
        </w:rPr>
        <w:t xml:space="preserve">INFORMD provides executive intelligence briefings, tools and frameworks for UK senior business leaders navigating regulatory change. We deliver clear, actionable intelligence on the regulatory, technology, and governance developments that matter most to CEOs, CFOs, CISOs, NEDs, and General Counsel at FTSE 350, AIM-listed, and large private companies.</w:t>
      </w:r>
    </w:p>
    <w:p>
      <w:pPr>
        <w:spacing w:after="100" w:before="100"/>
      </w:pPr>
      <w:r>
        <w:t xml:space="preserve"/>
      </w:r>
    </w:p>
    <w:p>
      <w:pPr>
        <w:spacing w:after="80" w:before="80"/>
      </w:pPr>
      <w:r>
        <w:rPr>
          <w:rFonts w:ascii="Arial" w:cs="Arial" w:eastAsia="Arial" w:hAnsi="Arial"/>
          <w:sz w:val="22"/>
          <w:szCs w:val="22"/>
        </w:rPr>
        <w:t xml:space="preserve">Based in Milton Keynes, UK, INFORMD helps boards and executive teams stay ahead of regulatory change — not catch up with it.</w:t>
      </w:r>
    </w:p>
    <w:p>
      <w:pPr>
        <w:spacing w:after="100" w:before="100"/>
      </w:pPr>
      <w:r>
        <w:t xml:space="preserve"/>
      </w:r>
    </w:p>
    <w:p>
      <w:pPr>
        <w:spacing w:after="100" w:before="200"/>
      </w:pPr>
      <w:r>
        <w:rPr>
          <w:rFonts w:ascii="Arial" w:cs="Arial" w:eastAsia="Arial" w:hAnsi="Arial"/>
          <w:sz w:val="22"/>
          <w:szCs w:val="22"/>
        </w:rPr>
        <w:t xml:space="preserve">Explore our full briefing library: </w:t>
      </w:r>
      <w:hyperlink w:history="1" r:id="rIdsw6aadn8w9rtemp066cm9">
        <w:r>
          <w:rPr>
            <w:rStyle w:val="Hyperlink"/>
            <w:rFonts w:ascii="Arial" w:cs="Arial" w:eastAsia="Arial" w:hAnsi="Arial"/>
            <w:sz w:val="22"/>
            <w:szCs w:val="22"/>
          </w:rPr>
          <w:t xml:space="preserve">informd.co.uk/resources</w:t>
        </w:r>
      </w:hyperlink>
    </w:p>
    <w:p>
      <w:pPr>
        <w:spacing w:after="100" w:before="60"/>
      </w:pPr>
      <w:r>
        <w:rPr>
          <w:rFonts w:ascii="Arial" w:cs="Arial" w:eastAsia="Arial" w:hAnsi="Arial"/>
          <w:sz w:val="22"/>
          <w:szCs w:val="22"/>
        </w:rPr>
        <w:t xml:space="preserve">Free assessment tools: </w:t>
      </w:r>
      <w:hyperlink w:history="1" r:id="rId3l3h99qs2q17gvevyqggt">
        <w:r>
          <w:rPr>
            <w:rStyle w:val="Hyperlink"/>
            <w:rFonts w:ascii="Arial" w:cs="Arial" w:eastAsia="Arial" w:hAnsi="Arial"/>
            <w:sz w:val="22"/>
            <w:szCs w:val="22"/>
          </w:rPr>
          <w:t xml:space="preserve">informd.co.uk/tools-assessments</w:t>
        </w:r>
      </w:hyperlink>
    </w:p>
    <w:p>
      <w:pPr>
        <w:spacing w:after="100" w:before="100"/>
      </w:pPr>
      <w:r>
        <w:t xml:space="preserve"/>
      </w:r>
    </w:p>
    <w:p>
      <w:pPr>
        <w:pBdr>
          <w:top w:val="single" w:color="D0D5DD" w:sz="2"/>
        </w:pBdr>
        <w:spacing w:after="0" w:before="200"/>
      </w:pPr>
      <w:r>
        <w:rPr>
          <w:rFonts w:ascii="Arial" w:cs="Arial" w:eastAsia="Arial" w:hAnsi="Arial"/>
          <w:i/>
          <w:iCs/>
          <w:color w:val="888888"/>
          <w:sz w:val="18"/>
          <w:szCs w:val="18"/>
        </w:rPr>
        <w:t xml:space="preserve">This document is provided for informational purposes only. It does not constitute legal advice. FCA/PRA rules and guidance are subject to change. Always verify current requirements with your legal and compliance advisers.</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0D5DD" w:sz="2"/>
      </w:pBdr>
      <w:spacing w:before="120"/>
    </w:pPr>
    <w:r>
      <w:rPr>
        <w:rFonts w:ascii="Arial" w:cs="Arial" w:eastAsia="Arial" w:hAnsi="Arial"/>
        <w:color w:val="888888"/>
        <w:sz w:val="16"/>
        <w:szCs w:val="16"/>
      </w:rPr>
      <w:t xml:space="preserve">INFORMD Confidential  |  informd.co.uk  |  This document is for professional use only. It does not constitute legal advice.  |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0D5DD" w:sz="2"/>
      </w:pBdr>
      <w:tabs>
        <w:tab w:val="right" w:pos="9638"/>
      </w:tabs>
      <w:spacing w:after="120"/>
    </w:pPr>
    <w:r>
      <w:rPr>
        <w:rFonts w:ascii="Arial" w:cs="Arial" w:eastAsia="Arial" w:hAnsi="Arial"/>
        <w:color w:val="888888"/>
        <w:sz w:val="18"/>
        <w:szCs w:val="18"/>
      </w:rPr>
      <w:t xml:space="preserve">INFORMD  |  FCA Non-Financial Misconduct: Board Policy Pack</w:t>
    </w:r>
    <w:r>
      <w:rPr>
        <w:sz w:val="18"/>
        <w:szCs w:val="18"/>
      </w:rPr>
      <w:t xml:space="preserve">	</w:t>
    </w:r>
    <w:r>
      <w:rPr>
        <w:rFonts w:ascii="Arial" w:cs="Arial" w:eastAsia="Arial" w:hAnsi="Arial"/>
        <w:color w:val="1A2744"/>
        <w:sz w:val="18"/>
        <w:szCs w:val="18"/>
      </w:rPr>
      <w:t xml:space="preserve">informd.co.uk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240"/>
      <w:outlineLvl w:val="0"/>
    </w:pPr>
    <w:rPr>
      <w:rFonts w:ascii="Arial" w:cs="Arial" w:eastAsia="Arial" w:hAnsi="Arial"/>
      <w:b/>
      <w:bCs/>
      <w:color w:val="1A2744"/>
      <w:sz w:val="32"/>
      <w:szCs w:val="32"/>
    </w:rPr>
  </w:style>
  <w:style w:type="paragraph" w:styleId="Heading2">
    <w:name w:val="Heading 2"/>
    <w:basedOn w:val="Normal"/>
    <w:next w:val="Normal"/>
    <w:qFormat/>
    <w:pPr>
      <w:spacing w:after="120" w:before="200"/>
      <w:outlineLvl w:val="1"/>
    </w:pPr>
    <w:rPr>
      <w:rFonts w:ascii="Arial" w:cs="Arial" w:eastAsia="Arial" w:hAnsi="Arial"/>
      <w:b/>
      <w:bCs/>
      <w:color w:val="1A2744"/>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sw6aadn8w9rtemp066cm9" Type="http://schemas.openxmlformats.org/officeDocument/2006/relationships/hyperlink" Target="https://informd.co.uk/resources/" TargetMode="External"/><Relationship Id="rId3l3h99qs2q17gvevyqggt" Type="http://schemas.openxmlformats.org/officeDocument/2006/relationships/hyperlink" Target="https://informd.co.uk/tools-assessments/"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2026-07-02T22:15:35.467Z</dcterms:created>
  <dcterms:modified xsi:type="dcterms:W3CDTF">2026-07-02T22:15:35.467Z</dcterms:modified>
</cp:coreProperties>
</file>

<file path=docProps/custom.xml><?xml version="1.0" encoding="utf-8"?>
<Properties xmlns="http://schemas.openxmlformats.org/officeDocument/2006/custom-properties" xmlns:vt="http://schemas.openxmlformats.org/officeDocument/2006/docPropsVTypes"/>
</file>