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FCA Consumer Duty — Board Annual Report Pack</w:t>
      </w:r>
    </w:p>
    <w:p>
      <w:pPr>
        <w:spacing w:after="240"/>
      </w:pPr>
      <w:r>
        <w:rPr>
          <w:rFonts w:ascii="Arial" w:cs="Arial" w:eastAsia="Arial" w:hAnsi="Arial"/>
          <w:color w:val="444444"/>
          <w:sz w:val="24"/>
          <w:szCs w:val="24"/>
        </w:rPr>
        <w:t xml:space="preserve">For: Boards, NEDs, Chief Risk Officers, and Compliance Directors at FCA-regulated consumer-facing firms</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The Regulatory Requirement</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The Four Consumer Duty Outcomes</w:t>
      </w:r>
      <w:r>
        <w:rPr>
          <w:rFonts w:ascii="Arial" w:cs="Arial" w:eastAsia="Arial" w:hAnsi="Arial"/>
          <w:sz w:val="20"/>
          <w:szCs w:val="20"/>
        </w:rPr>
        <w:t xml:space="preserve">	5</w:t>
      </w:r>
    </w:p>
    <w:p>
      <w:pPr>
        <w:tabs>
          <w:tab w:val="right" w:pos="9638"/>
        </w:tabs>
        <w:spacing w:after="160"/>
      </w:pPr>
      <w:r>
        <w:rPr>
          <w:rFonts w:ascii="Arial" w:cs="Arial" w:eastAsia="Arial" w:hAnsi="Arial"/>
          <w:sz w:val="20"/>
          <w:szCs w:val="20"/>
        </w:rPr>
        <w:t xml:space="preserve">4.  Board Report Structure Template</w:t>
      </w:r>
      <w:r>
        <w:rPr>
          <w:rFonts w:ascii="Arial" w:cs="Arial" w:eastAsia="Arial" w:hAnsi="Arial"/>
          <w:sz w:val="20"/>
          <w:szCs w:val="20"/>
        </w:rPr>
        <w:t xml:space="preserve">	7</w:t>
      </w:r>
    </w:p>
    <w:p>
      <w:pPr>
        <w:tabs>
          <w:tab w:val="right" w:pos="9638"/>
        </w:tabs>
        <w:spacing w:after="160"/>
      </w:pPr>
      <w:r>
        <w:rPr>
          <w:rFonts w:ascii="Arial" w:cs="Arial" w:eastAsia="Arial" w:hAnsi="Arial"/>
          <w:sz w:val="20"/>
          <w:szCs w:val="20"/>
        </w:rPr>
        <w:t xml:space="preserve">5.  Common FCA Findings</w:t>
      </w:r>
      <w:r>
        <w:rPr>
          <w:rFonts w:ascii="Arial" w:cs="Arial" w:eastAsia="Arial" w:hAnsi="Arial"/>
          <w:sz w:val="20"/>
          <w:szCs w:val="20"/>
        </w:rPr>
        <w:t xml:space="preserve">	10</w:t>
      </w:r>
    </w:p>
    <w:p>
      <w:pPr>
        <w:tabs>
          <w:tab w:val="right" w:pos="9638"/>
        </w:tabs>
        <w:spacing w:after="160"/>
      </w:pPr>
      <w:r>
        <w:rPr>
          <w:rFonts w:ascii="Arial" w:cs="Arial" w:eastAsia="Arial" w:hAnsi="Arial"/>
          <w:sz w:val="20"/>
          <w:szCs w:val="20"/>
        </w:rPr>
        <w:t xml:space="preserve">6.  Vulnerable Customer Checklist</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7.  Board Questions</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8.  Key Regulatory References</w:t>
      </w:r>
      <w:r>
        <w:rPr>
          <w:rFonts w:ascii="Arial" w:cs="Arial" w:eastAsia="Arial" w:hAnsi="Arial"/>
          <w:sz w:val="20"/>
          <w:szCs w:val="20"/>
        </w:rPr>
        <w:t xml:space="preserve">	13</w:t>
      </w:r>
    </w:p>
    <w:p>
      <w:pPr>
        <w:tabs>
          <w:tab w:val="right" w:pos="9638"/>
        </w:tabs>
        <w:spacing w:after="160"/>
      </w:pPr>
      <w:r>
        <w:rPr>
          <w:rFonts w:ascii="Arial" w:cs="Arial" w:eastAsia="Arial" w:hAnsi="Arial"/>
          <w:sz w:val="20"/>
          <w:szCs w:val="20"/>
        </w:rPr>
        <w:t xml:space="preserve">9.  About INFORMD</w:t>
      </w:r>
      <w:r>
        <w:rPr>
          <w:rFonts w:ascii="Arial" w:cs="Arial" w:eastAsia="Arial" w:hAnsi="Arial"/>
          <w:sz w:val="20"/>
          <w:szCs w:val="20"/>
        </w:rPr>
        <w:t xml:space="preserve">	14</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Consumer Duty is now in its third year of operation. The FCA's expectations have sharpened significantly — the regulator is moving from implementation to supervision and enforcement, with a particular focus on whether firms can demonstrate they are achieving good outcomes for retail customers.</w:t>
      </w:r>
    </w:p>
    <w:p>
      <w:pPr>
        <w:spacing w:after="160"/>
      </w:pPr>
      <w:r>
        <w:rPr>
          <w:rFonts w:ascii="Arial" w:cs="Arial" w:eastAsia="Arial" w:hAnsi="Arial"/>
          <w:sz w:val="20"/>
          <w:szCs w:val="20"/>
        </w:rPr>
        <w:t xml:space="preserve">The 31 July 2026 annual board report deadline is a hard regulatory requirement under PRIN 2A.10.11R. The board must review and approve an annual report assessing whether the firm is delivering good outcomes for retail customers. There is no discretion on this obligation.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KEY DEADLINE: The annual Consumer Duty board report must be reviewed and approved by the board by 31 July 2026 for the period ending 31 July 2026. PRIN 2A.10.11R requires this to be an annual obligation from 31 July 2024 onwards.</w:t>
            </w:r>
          </w:p>
        </w:tc>
      </w:tr>
    </w:tbl>
    <w:p>
      <w:pPr>
        <w:spacing w:after="160"/>
      </w:pPr>
      <w:r>
        <w:rPr>
          <w:rFonts w:ascii="Arial" w:cs="Arial" w:eastAsia="Arial" w:hAnsi="Arial"/>
          <w:sz w:val="20"/>
          <w:szCs w:val="20"/>
        </w:rPr>
        <w:t xml:space="preserve"/>
      </w:r>
    </w:p>
    <w:p>
      <w:pPr>
        <w:spacing w:after="160"/>
      </w:pPr>
      <w:r>
        <w:rPr>
          <w:rFonts w:ascii="Arial" w:cs="Arial" w:eastAsia="Arial" w:hAnsi="Arial"/>
          <w:sz w:val="20"/>
          <w:szCs w:val="20"/>
        </w:rPr>
        <w:t xml:space="preserve">The FCA reviews board reports as part of supervisory engagement. A weak or process-focused report signals poor governance to the regulator and increases the risk of supervisory attention. The FCA has been explicit that it expects board reports to be:</w:t>
      </w:r>
    </w:p>
    <w:p>
      <w:pPr>
        <w:pStyle w:val="ListParagraph"/>
        <w:numPr>
          <w:ilvl w:val="0"/>
          <w:numId w:val="2"/>
        </w:numPr>
      </w:pPr>
      <w:r>
        <w:rPr>
          <w:rFonts w:ascii="Arial" w:cs="Arial" w:eastAsia="Arial" w:hAnsi="Arial"/>
          <w:sz w:val="20"/>
          <w:szCs w:val="20"/>
        </w:rPr>
        <w:t xml:space="preserve">Evidence-based — supported by data and MI, not just narrative assertions</w:t>
      </w:r>
    </w:p>
    <w:p>
      <w:pPr>
        <w:pStyle w:val="ListParagraph"/>
        <w:numPr>
          <w:ilvl w:val="0"/>
          <w:numId w:val="2"/>
        </w:numPr>
      </w:pPr>
      <w:r>
        <w:rPr>
          <w:rFonts w:ascii="Arial" w:cs="Arial" w:eastAsia="Arial" w:hAnsi="Arial"/>
          <w:sz w:val="20"/>
          <w:szCs w:val="20"/>
        </w:rPr>
        <w:t xml:space="preserve">Outcome-focused — demonstrating what customers actually experienced, not just what processes exist</w:t>
      </w:r>
    </w:p>
    <w:p>
      <w:pPr>
        <w:pStyle w:val="ListParagraph"/>
        <w:numPr>
          <w:ilvl w:val="0"/>
          <w:numId w:val="2"/>
        </w:numPr>
      </w:pPr>
      <w:r>
        <w:rPr>
          <w:rFonts w:ascii="Arial" w:cs="Arial" w:eastAsia="Arial" w:hAnsi="Arial"/>
          <w:sz w:val="20"/>
          <w:szCs w:val="20"/>
        </w:rPr>
        <w:t xml:space="preserve">Action-oriented — identifying where good outcomes are not being achieved and what the firm is doing about it</w:t>
      </w:r>
    </w:p>
    <w:p>
      <w:pPr>
        <w:pStyle w:val="Heading1"/>
        <w:pageBreakBefore/>
      </w:pPr>
      <w:r>
        <w:rPr>
          <w:rFonts w:ascii="Arial" w:cs="Arial" w:eastAsia="Arial" w:hAnsi="Arial"/>
          <w:b/>
          <w:bCs/>
          <w:color w:val="1A2744"/>
          <w:sz w:val="32"/>
          <w:szCs w:val="32"/>
        </w:rPr>
        <w:t xml:space="preserve">2. The Regulatory Requirement</w:t>
      </w:r>
    </w:p>
    <w:p>
      <w:pPr>
        <w:pStyle w:val="Heading2"/>
      </w:pPr>
      <w:r>
        <w:rPr>
          <w:rFonts w:ascii="Arial" w:cs="Arial" w:eastAsia="Arial" w:hAnsi="Arial"/>
          <w:b/>
          <w:bCs/>
          <w:color w:val="1A2744"/>
          <w:sz w:val="26"/>
          <w:szCs w:val="26"/>
        </w:rPr>
        <w:t xml:space="preserve">PRIN 2A.10.11R — The Legal Obligation</w:t>
      </w:r>
    </w:p>
    <w:p>
      <w:pPr>
        <w:spacing w:after="160"/>
      </w:pPr>
      <w:r>
        <w:rPr>
          <w:rFonts w:ascii="Arial" w:cs="Arial" w:eastAsia="Arial" w:hAnsi="Arial"/>
          <w:sz w:val="20"/>
          <w:szCs w:val="20"/>
        </w:rPr>
        <w:t xml:space="preserve">PRIN 2A.10.11R requires the board (or equivalent governing body) to review and approve an annual report assessing whether the firm is delivering good outcomes for retail customers in accordance with the Consumer Duty.</w:t>
      </w:r>
    </w:p>
    <w:p>
      <w:pPr>
        <w:spacing w:after="160"/>
      </w:pPr>
      <w:r>
        <w:rPr>
          <w:rFonts w:ascii="Arial" w:cs="Arial" w:eastAsia="Arial" w:hAnsi="Arial"/>
          <w:sz w:val="20"/>
          <w:szCs w:val="20"/>
        </w:rPr>
        <w:t xml:space="preserve">This is not a management report reviewed by the board — it is a board report, which the board owns and approves. The distinction matters for regulatory purposes and for the tone it sets for the organisation.</w:t>
      </w:r>
    </w:p>
    <w:p>
      <w:pPr>
        <w:pStyle w:val="Heading2"/>
      </w:pPr>
      <w:r>
        <w:rPr>
          <w:rFonts w:ascii="Arial" w:cs="Arial" w:eastAsia="Arial" w:hAnsi="Arial"/>
          <w:b/>
          <w:bCs/>
          <w:color w:val="1A2744"/>
          <w:sz w:val="26"/>
          <w:szCs w:val="26"/>
        </w:rPr>
        <w:t xml:space="preserve">What the FCA Expects in the Report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6838"/>
      </w:tblGrid>
      <w:tr>
        <w:tc>
          <w:tcPr>
            <w:tcW w:type="dxa" w:w="2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FCA Expectation</w:t>
            </w:r>
          </w:p>
        </w:tc>
        <w:tc>
          <w:tcPr>
            <w:tcW w:type="dxa" w:w="68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What This Means in Practice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Evidence-based</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report must cite actual data and management information — customer outcome metrics, complaint rates, comprehension test results, value assessments. Assertions without evidence will be challenged.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Outcome-focused</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 distinguishes between process (e.g., 'we have a vulnerable customer policy') and outcome (e.g., 'vulnerable customers received equivalent outcomes to other customers as demonstrated by...'). The report must focus on outcomes.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Action-oriented</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Where the firm has identified gaps or poor outcomes, the report must describe specific remediation actions with owners and timelines. Vague commitments to 'continue to monitor' are insufficient.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Board-owned</w:t>
            </w:r>
          </w:p>
        </w:tc>
        <w:tc>
          <w:tcPr>
            <w:tcW w:type="dxa" w:w="6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board must genuinely own and challenge the report, not rubber-stamp a management document. Board minutes should reflect substantive discussion.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Forward-looking</w:t>
            </w:r>
          </w:p>
        </w:tc>
        <w:tc>
          <w:tcPr>
            <w:tcW w:type="dxa" w:w="6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report should identify emerging risks to good outcomes, not just assess the past year.</w:t>
            </w:r>
          </w:p>
        </w:tc>
      </w:tr>
    </w:tbl>
    <w:p>
      <w:pPr>
        <w:pStyle w:val="Heading1"/>
        <w:pageBreakBefore/>
      </w:pPr>
      <w:r>
        <w:rPr>
          <w:rFonts w:ascii="Arial" w:cs="Arial" w:eastAsia="Arial" w:hAnsi="Arial"/>
          <w:b/>
          <w:bCs/>
          <w:color w:val="1A2744"/>
          <w:sz w:val="32"/>
          <w:szCs w:val="32"/>
        </w:rPr>
        <w:t xml:space="preserve">3. The Four Consumer Duty Outcomes</w:t>
      </w:r>
    </w:p>
    <w:p>
      <w:pPr>
        <w:pStyle w:val="Heading2"/>
      </w:pPr>
      <w:r>
        <w:rPr>
          <w:rFonts w:ascii="Arial" w:cs="Arial" w:eastAsia="Arial" w:hAnsi="Arial"/>
          <w:b/>
          <w:bCs/>
          <w:color w:val="1A2744"/>
          <w:sz w:val="26"/>
          <w:szCs w:val="26"/>
        </w:rPr>
        <w:t xml:space="preserve">3a. Products and Services Outcome</w:t>
      </w:r>
    </w:p>
    <w:p>
      <w:pPr>
        <w:spacing w:after="160"/>
      </w:pPr>
      <w:r>
        <w:rPr>
          <w:rFonts w:ascii="Arial" w:cs="Arial" w:eastAsia="Arial" w:hAnsi="Arial"/>
          <w:sz w:val="20"/>
          <w:szCs w:val="20"/>
        </w:rPr>
        <w:t xml:space="preserve">Firms must ensure that products and services are designed to meet the needs, characteristics, and objectives of the target market and do not cause foreseeable harm.</w:t>
      </w:r>
    </w:p>
    <w:p>
      <w:pPr>
        <w:spacing w:after="160"/>
      </w:pPr>
      <w:r>
        <w:rPr>
          <w:rFonts w:ascii="Arial" w:cs="Arial" w:eastAsia="Arial" w:hAnsi="Arial"/>
          <w:sz w:val="20"/>
          <w:szCs w:val="20"/>
        </w:rPr>
        <w:t xml:space="preserve">Board-level KPIs:</w:t>
      </w:r>
    </w:p>
    <w:p>
      <w:pPr>
        <w:pStyle w:val="ListParagraph"/>
        <w:numPr>
          <w:ilvl w:val="0"/>
          <w:numId w:val="2"/>
        </w:numPr>
      </w:pPr>
      <w:r>
        <w:rPr>
          <w:rFonts w:ascii="Arial" w:cs="Arial" w:eastAsia="Arial" w:hAnsi="Arial"/>
          <w:sz w:val="20"/>
          <w:szCs w:val="20"/>
        </w:rPr>
        <w:t xml:space="preserve">Product review completion rate — percentage of products reviewed against Consumer Duty standards within the required review cycle</w:t>
      </w:r>
    </w:p>
    <w:p>
      <w:pPr>
        <w:pStyle w:val="ListParagraph"/>
        <w:numPr>
          <w:ilvl w:val="0"/>
          <w:numId w:val="2"/>
        </w:numPr>
      </w:pPr>
      <w:r>
        <w:rPr>
          <w:rFonts w:ascii="Arial" w:cs="Arial" w:eastAsia="Arial" w:hAnsi="Arial"/>
          <w:sz w:val="20"/>
          <w:szCs w:val="20"/>
        </w:rPr>
        <w:t xml:space="preserve">Customer complaints by product — complaint volumes, root causes, and trends, broken down by product line</w:t>
      </w:r>
    </w:p>
    <w:p>
      <w:pPr>
        <w:pStyle w:val="ListParagraph"/>
        <w:numPr>
          <w:ilvl w:val="0"/>
          <w:numId w:val="2"/>
        </w:numPr>
      </w:pPr>
      <w:r>
        <w:rPr>
          <w:rFonts w:ascii="Arial" w:cs="Arial" w:eastAsia="Arial" w:hAnsi="Arial"/>
          <w:sz w:val="20"/>
          <w:szCs w:val="20"/>
        </w:rPr>
        <w:t xml:space="preserve">Product withdrawal decisions — where products have been withdrawn or modified as a result of Consumer Duty assessment, the outcome for customers</w:t>
      </w:r>
    </w:p>
    <w:p>
      <w:pPr>
        <w:pStyle w:val="ListParagraph"/>
        <w:numPr>
          <w:ilvl w:val="0"/>
          <w:numId w:val="2"/>
        </w:numPr>
      </w:pPr>
      <w:r>
        <w:rPr>
          <w:rFonts w:ascii="Arial" w:cs="Arial" w:eastAsia="Arial" w:hAnsi="Arial"/>
          <w:sz w:val="20"/>
          <w:szCs w:val="20"/>
        </w:rPr>
        <w:t xml:space="preserve">Target market alignment — evidence that products in distribution are reaching the intended target market and not being purchased by out-of-target customers at scale</w:t>
      </w:r>
    </w:p>
    <w:p>
      <w:pPr>
        <w:pStyle w:val="Heading2"/>
      </w:pPr>
      <w:r>
        <w:rPr>
          <w:rFonts w:ascii="Arial" w:cs="Arial" w:eastAsia="Arial" w:hAnsi="Arial"/>
          <w:b/>
          <w:bCs/>
          <w:color w:val="1A2744"/>
          <w:sz w:val="26"/>
          <w:szCs w:val="26"/>
        </w:rPr>
        <w:t xml:space="preserve">3b. Price and Value Outcome</w:t>
      </w:r>
    </w:p>
    <w:p>
      <w:pPr>
        <w:spacing w:after="160"/>
      </w:pPr>
      <w:r>
        <w:rPr>
          <w:rFonts w:ascii="Arial" w:cs="Arial" w:eastAsia="Arial" w:hAnsi="Arial"/>
          <w:sz w:val="20"/>
          <w:szCs w:val="20"/>
        </w:rPr>
        <w:t xml:space="preserve">Firms must ensure that the price customers pay for a product or service is reasonable relative to the overall benefits they receive.</w:t>
      </w:r>
    </w:p>
    <w:p>
      <w:pPr>
        <w:spacing w:after="160"/>
      </w:pPr>
      <w:r>
        <w:rPr>
          <w:rFonts w:ascii="Arial" w:cs="Arial" w:eastAsia="Arial" w:hAnsi="Arial"/>
          <w:sz w:val="20"/>
          <w:szCs w:val="20"/>
        </w:rPr>
        <w:t xml:space="preserve">Board-level KPIs:</w:t>
      </w:r>
    </w:p>
    <w:p>
      <w:pPr>
        <w:pStyle w:val="ListParagraph"/>
        <w:numPr>
          <w:ilvl w:val="0"/>
          <w:numId w:val="2"/>
        </w:numPr>
      </w:pPr>
      <w:r>
        <w:rPr>
          <w:rFonts w:ascii="Arial" w:cs="Arial" w:eastAsia="Arial" w:hAnsi="Arial"/>
          <w:sz w:val="20"/>
          <w:szCs w:val="20"/>
        </w:rPr>
        <w:t xml:space="preserve">Value assessment outcomes — summary of formal value assessments conducted and findings (including any products assessed as poor value)</w:t>
      </w:r>
    </w:p>
    <w:p>
      <w:pPr>
        <w:pStyle w:val="ListParagraph"/>
        <w:numPr>
          <w:ilvl w:val="0"/>
          <w:numId w:val="2"/>
        </w:numPr>
      </w:pPr>
      <w:r>
        <w:rPr>
          <w:rFonts w:ascii="Arial" w:cs="Arial" w:eastAsia="Arial" w:hAnsi="Arial"/>
          <w:sz w:val="20"/>
          <w:szCs w:val="20"/>
        </w:rPr>
        <w:t xml:space="preserve">Margin analysis — analysis of margin relative to customer benefit, particularly for high-margin products in competitive markets</w:t>
      </w:r>
    </w:p>
    <w:p>
      <w:pPr>
        <w:pStyle w:val="ListParagraph"/>
        <w:numPr>
          <w:ilvl w:val="0"/>
          <w:numId w:val="2"/>
        </w:numPr>
      </w:pPr>
      <w:r>
        <w:rPr>
          <w:rFonts w:ascii="Arial" w:cs="Arial" w:eastAsia="Arial" w:hAnsi="Arial"/>
          <w:sz w:val="20"/>
          <w:szCs w:val="20"/>
        </w:rPr>
        <w:t xml:space="preserve">Competitor benchmarking — evidence that pricing is assessed against comparable products in the market</w:t>
      </w:r>
    </w:p>
    <w:p>
      <w:pPr>
        <w:pStyle w:val="ListParagraph"/>
        <w:numPr>
          <w:ilvl w:val="0"/>
          <w:numId w:val="2"/>
        </w:numPr>
      </w:pPr>
      <w:r>
        <w:rPr>
          <w:rFonts w:ascii="Arial" w:cs="Arial" w:eastAsia="Arial" w:hAnsi="Arial"/>
          <w:sz w:val="20"/>
          <w:szCs w:val="20"/>
        </w:rPr>
        <w:t xml:space="preserve">Add-on product analysis — where add-on products are sold, evidence that they provide fair value independently of the core product</w:t>
      </w:r>
    </w:p>
    <w:p>
      <w:pPr>
        <w:pStyle w:val="Heading2"/>
      </w:pPr>
      <w:r>
        <w:rPr>
          <w:rFonts w:ascii="Arial" w:cs="Arial" w:eastAsia="Arial" w:hAnsi="Arial"/>
          <w:b/>
          <w:bCs/>
          <w:color w:val="1A2744"/>
          <w:sz w:val="26"/>
          <w:szCs w:val="26"/>
        </w:rPr>
        <w:t xml:space="preserve">3c. Consumer Understanding Outcome</w:t>
      </w:r>
    </w:p>
    <w:p>
      <w:pPr>
        <w:spacing w:after="160"/>
      </w:pPr>
      <w:r>
        <w:rPr>
          <w:rFonts w:ascii="Arial" w:cs="Arial" w:eastAsia="Arial" w:hAnsi="Arial"/>
          <w:sz w:val="20"/>
          <w:szCs w:val="20"/>
        </w:rPr>
        <w:t xml:space="preserve">Firms must ensure that their communications equip retail customers to make effective, timely, and informed decisions.</w:t>
      </w:r>
    </w:p>
    <w:p>
      <w:pPr>
        <w:spacing w:after="160"/>
      </w:pPr>
      <w:r>
        <w:rPr>
          <w:rFonts w:ascii="Arial" w:cs="Arial" w:eastAsia="Arial" w:hAnsi="Arial"/>
          <w:sz w:val="20"/>
          <w:szCs w:val="20"/>
        </w:rPr>
        <w:t xml:space="preserve">Board-level KPIs:</w:t>
      </w:r>
    </w:p>
    <w:p>
      <w:pPr>
        <w:pStyle w:val="ListParagraph"/>
        <w:numPr>
          <w:ilvl w:val="0"/>
          <w:numId w:val="2"/>
        </w:numPr>
      </w:pPr>
      <w:r>
        <w:rPr>
          <w:rFonts w:ascii="Arial" w:cs="Arial" w:eastAsia="Arial" w:hAnsi="Arial"/>
          <w:sz w:val="20"/>
          <w:szCs w:val="20"/>
        </w:rPr>
        <w:t xml:space="preserve">Comprehension test results — where firms use comprehension testing for key communications, results and trends</w:t>
      </w:r>
    </w:p>
    <w:p>
      <w:pPr>
        <w:pStyle w:val="ListParagraph"/>
        <w:numPr>
          <w:ilvl w:val="0"/>
          <w:numId w:val="2"/>
        </w:numPr>
      </w:pPr>
      <w:r>
        <w:rPr>
          <w:rFonts w:ascii="Arial" w:cs="Arial" w:eastAsia="Arial" w:hAnsi="Arial"/>
          <w:sz w:val="20"/>
          <w:szCs w:val="20"/>
        </w:rPr>
        <w:t xml:space="preserve">Complaint root cause analysis — proportion of complaints attributable to customer misunderstanding of products or terms</w:t>
      </w:r>
    </w:p>
    <w:p>
      <w:pPr>
        <w:pStyle w:val="ListParagraph"/>
        <w:numPr>
          <w:ilvl w:val="0"/>
          <w:numId w:val="2"/>
        </w:numPr>
      </w:pPr>
      <w:r>
        <w:rPr>
          <w:rFonts w:ascii="Arial" w:cs="Arial" w:eastAsia="Arial" w:hAnsi="Arial"/>
          <w:sz w:val="20"/>
          <w:szCs w:val="20"/>
        </w:rPr>
        <w:t xml:space="preserve">Vulnerable customer identification rate — the rate at which potentially vulnerable customers are identified during the customer journey</w:t>
      </w:r>
    </w:p>
    <w:p>
      <w:pPr>
        <w:pStyle w:val="ListParagraph"/>
        <w:numPr>
          <w:ilvl w:val="0"/>
          <w:numId w:val="2"/>
        </w:numPr>
      </w:pPr>
      <w:r>
        <w:rPr>
          <w:rFonts w:ascii="Arial" w:cs="Arial" w:eastAsia="Arial" w:hAnsi="Arial"/>
          <w:sz w:val="20"/>
          <w:szCs w:val="20"/>
        </w:rPr>
        <w:t xml:space="preserve">Disclosure clarity assessments — results of readability or plain English assessments of key customer communications</w:t>
      </w:r>
    </w:p>
    <w:p>
      <w:pPr>
        <w:pStyle w:val="Heading2"/>
      </w:pPr>
      <w:r>
        <w:rPr>
          <w:rFonts w:ascii="Arial" w:cs="Arial" w:eastAsia="Arial" w:hAnsi="Arial"/>
          <w:b/>
          <w:bCs/>
          <w:color w:val="1A2744"/>
          <w:sz w:val="26"/>
          <w:szCs w:val="26"/>
        </w:rPr>
        <w:t xml:space="preserve">3d. Consumer Support Outcome</w:t>
      </w:r>
    </w:p>
    <w:p>
      <w:pPr>
        <w:spacing w:after="160"/>
      </w:pPr>
      <w:r>
        <w:rPr>
          <w:rFonts w:ascii="Arial" w:cs="Arial" w:eastAsia="Arial" w:hAnsi="Arial"/>
          <w:sz w:val="20"/>
          <w:szCs w:val="20"/>
        </w:rPr>
        <w:t xml:space="preserve">Firms must ensure that customers receive the support they need throughout their relationship with the firm.</w:t>
      </w:r>
    </w:p>
    <w:p>
      <w:pPr>
        <w:spacing w:after="160"/>
      </w:pPr>
      <w:r>
        <w:rPr>
          <w:rFonts w:ascii="Arial" w:cs="Arial" w:eastAsia="Arial" w:hAnsi="Arial"/>
          <w:sz w:val="20"/>
          <w:szCs w:val="20"/>
        </w:rPr>
        <w:t xml:space="preserve">Board-level KPIs:</w:t>
      </w:r>
    </w:p>
    <w:p>
      <w:pPr>
        <w:pStyle w:val="ListParagraph"/>
        <w:numPr>
          <w:ilvl w:val="0"/>
          <w:numId w:val="2"/>
        </w:numPr>
      </w:pPr>
      <w:r>
        <w:rPr>
          <w:rFonts w:ascii="Arial" w:cs="Arial" w:eastAsia="Arial" w:hAnsi="Arial"/>
          <w:sz w:val="20"/>
          <w:szCs w:val="20"/>
        </w:rPr>
        <w:t xml:space="preserve">Call wait times — average wait times and trends, with particular focus on whether vulnerable customers face longer waits</w:t>
      </w:r>
    </w:p>
    <w:p>
      <w:pPr>
        <w:pStyle w:val="ListParagraph"/>
        <w:numPr>
          <w:ilvl w:val="0"/>
          <w:numId w:val="2"/>
        </w:numPr>
      </w:pPr>
      <w:r>
        <w:rPr>
          <w:rFonts w:ascii="Arial" w:cs="Arial" w:eastAsia="Arial" w:hAnsi="Arial"/>
          <w:sz w:val="20"/>
          <w:szCs w:val="20"/>
        </w:rPr>
        <w:t xml:space="preserve">Complaint resolution rates — first contact resolution rates and time to resolution</w:t>
      </w:r>
    </w:p>
    <w:p>
      <w:pPr>
        <w:pStyle w:val="ListParagraph"/>
        <w:numPr>
          <w:ilvl w:val="0"/>
          <w:numId w:val="2"/>
        </w:numPr>
      </w:pPr>
      <w:r>
        <w:rPr>
          <w:rFonts w:ascii="Arial" w:cs="Arial" w:eastAsia="Arial" w:hAnsi="Arial"/>
          <w:sz w:val="20"/>
          <w:szCs w:val="20"/>
        </w:rPr>
        <w:t xml:space="preserve">Channel accessibility — evidence that customers can access support through channels appropriate to their needs (including non-digital channels for those who need them)</w:t>
      </w:r>
    </w:p>
    <w:p>
      <w:pPr>
        <w:pStyle w:val="ListParagraph"/>
        <w:numPr>
          <w:ilvl w:val="0"/>
          <w:numId w:val="2"/>
        </w:numPr>
      </w:pPr>
      <w:r>
        <w:rPr>
          <w:rFonts w:ascii="Arial" w:cs="Arial" w:eastAsia="Arial" w:hAnsi="Arial"/>
          <w:sz w:val="20"/>
          <w:szCs w:val="20"/>
        </w:rPr>
        <w:t xml:space="preserve">DSAR (Data Subject Access Request) response rates — compliance with GDPR timescales and quality of response</w:t>
      </w:r>
    </w:p>
    <w:p>
      <w:pPr>
        <w:pStyle w:val="ListParagraph"/>
        <w:numPr>
          <w:ilvl w:val="0"/>
          <w:numId w:val="2"/>
        </w:numPr>
      </w:pPr>
      <w:r>
        <w:rPr>
          <w:rFonts w:ascii="Arial" w:cs="Arial" w:eastAsia="Arial" w:hAnsi="Arial"/>
          <w:sz w:val="20"/>
          <w:szCs w:val="20"/>
        </w:rPr>
        <w:t xml:space="preserve">Hardship and forbearance outcomes — for firms in relevant sectors, evidence of outcomes for customers in financial difficulty</w:t>
      </w:r>
    </w:p>
    <w:p>
      <w:pPr>
        <w:pStyle w:val="Heading1"/>
        <w:pageBreakBefore/>
      </w:pPr>
      <w:r>
        <w:rPr>
          <w:rFonts w:ascii="Arial" w:cs="Arial" w:eastAsia="Arial" w:hAnsi="Arial"/>
          <w:b/>
          <w:bCs/>
          <w:color w:val="1A2744"/>
          <w:sz w:val="32"/>
          <w:szCs w:val="32"/>
        </w:rPr>
        <w:t xml:space="preserve">4. Board Report Structure Template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This is a structural template for the board's annual Consumer Duty report. It should be populated with your firm's specific data, MI, and analysis. It requires board review and approval before 31 July each year.</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6"/>
          <w:szCs w:val="26"/>
        </w:rPr>
        <w:t xml:space="preserve">CONSUMER DUTY ANNUAL BOARD REPORT</w:t>
      </w:r>
    </w:p>
    <w:p>
      <w:pPr>
        <w:spacing w:after="160"/>
      </w:pPr>
      <w:r>
        <w:rPr>
          <w:rFonts w:ascii="Arial" w:cs="Arial" w:eastAsia="Arial" w:hAnsi="Arial"/>
          <w:sz w:val="20"/>
          <w:szCs w:val="20"/>
        </w:rPr>
        <w:t xml:space="preserve">[FIRM NAME]</w:t>
      </w:r>
    </w:p>
    <w:p>
      <w:pPr>
        <w:spacing w:after="160"/>
      </w:pPr>
      <w:r>
        <w:rPr>
          <w:rFonts w:ascii="Arial" w:cs="Arial" w:eastAsia="Arial" w:hAnsi="Arial"/>
          <w:sz w:val="20"/>
          <w:szCs w:val="20"/>
        </w:rPr>
        <w:t xml:space="preserve">Report period: 1 August [prior year] to 31 July [current year]</w:t>
      </w:r>
    </w:p>
    <w:p>
      <w:pPr>
        <w:spacing w:after="160"/>
      </w:pPr>
      <w:r>
        <w:rPr>
          <w:rFonts w:ascii="Arial" w:cs="Arial" w:eastAsia="Arial" w:hAnsi="Arial"/>
          <w:sz w:val="20"/>
          <w:szCs w:val="20"/>
        </w:rPr>
        <w:t xml:space="preserve">Approved by the Board: [Date]</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A. Executive Summary</w:t>
      </w:r>
    </w:p>
    <w:p>
      <w:pPr>
        <w:spacing w:after="160"/>
      </w:pPr>
      <w:r>
        <w:rPr>
          <w:rFonts w:ascii="Arial" w:cs="Arial" w:eastAsia="Arial" w:hAnsi="Arial"/>
          <w:sz w:val="20"/>
          <w:szCs w:val="20"/>
        </w:rPr>
        <w:t xml:space="preserve">[To be completed by the board following review of the full report. Should summarise: overall assessment of whether the firm is delivering good outcomes; key areas of strength; key areas requiring improvement; principal actions being taken.]</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B. Methodology and Evidence Sources</w:t>
      </w:r>
    </w:p>
    <w:p>
      <w:pPr>
        <w:spacing w:after="160"/>
      </w:pPr>
      <w:r>
        <w:rPr>
          <w:rFonts w:ascii="Arial" w:cs="Arial" w:eastAsia="Arial" w:hAnsi="Arial"/>
          <w:sz w:val="20"/>
          <w:szCs w:val="20"/>
        </w:rPr>
        <w:t xml:space="preserve">This report draws on the following evidence sources:</w:t>
      </w:r>
    </w:p>
    <w:p>
      <w:pPr>
        <w:pStyle w:val="ListParagraph"/>
        <w:numPr>
          <w:ilvl w:val="0"/>
          <w:numId w:val="2"/>
        </w:numPr>
      </w:pPr>
      <w:r>
        <w:rPr>
          <w:rFonts w:ascii="Arial" w:cs="Arial" w:eastAsia="Arial" w:hAnsi="Arial"/>
          <w:sz w:val="20"/>
          <w:szCs w:val="20"/>
        </w:rPr>
        <w:t xml:space="preserve">Management information packs reviewed by the board during [year] — monthly MI packs covering [list outcomes covered]</w:t>
      </w:r>
    </w:p>
    <w:p>
      <w:pPr>
        <w:pStyle w:val="ListParagraph"/>
        <w:numPr>
          <w:ilvl w:val="0"/>
          <w:numId w:val="2"/>
        </w:numPr>
      </w:pPr>
      <w:r>
        <w:rPr>
          <w:rFonts w:ascii="Arial" w:cs="Arial" w:eastAsia="Arial" w:hAnsi="Arial"/>
          <w:sz w:val="20"/>
          <w:szCs w:val="20"/>
        </w:rPr>
        <w:t xml:space="preserve">Customer complaint data — sourced from [complaints management system], covering [period]</w:t>
      </w:r>
    </w:p>
    <w:p>
      <w:pPr>
        <w:pStyle w:val="ListParagraph"/>
        <w:numPr>
          <w:ilvl w:val="0"/>
          <w:numId w:val="2"/>
        </w:numPr>
      </w:pPr>
      <w:r>
        <w:rPr>
          <w:rFonts w:ascii="Arial" w:cs="Arial" w:eastAsia="Arial" w:hAnsi="Arial"/>
          <w:sz w:val="20"/>
          <w:szCs w:val="20"/>
        </w:rPr>
        <w:t xml:space="preserve">Value assessment outcomes — conducted by [team/function], reviewed by [Audit Committee / Risk Committee]</w:t>
      </w:r>
    </w:p>
    <w:p>
      <w:pPr>
        <w:pStyle w:val="ListParagraph"/>
        <w:numPr>
          <w:ilvl w:val="0"/>
          <w:numId w:val="2"/>
        </w:numPr>
      </w:pPr>
      <w:r>
        <w:rPr>
          <w:rFonts w:ascii="Arial" w:cs="Arial" w:eastAsia="Arial" w:hAnsi="Arial"/>
          <w:sz w:val="20"/>
          <w:szCs w:val="20"/>
        </w:rPr>
        <w:t xml:space="preserve">Customer research — [qualitative/quantitative research conducted during period]</w:t>
      </w:r>
    </w:p>
    <w:p>
      <w:pPr>
        <w:pStyle w:val="ListParagraph"/>
        <w:numPr>
          <w:ilvl w:val="0"/>
          <w:numId w:val="2"/>
        </w:numPr>
      </w:pPr>
      <w:r>
        <w:rPr>
          <w:rFonts w:ascii="Arial" w:cs="Arial" w:eastAsia="Arial" w:hAnsi="Arial"/>
          <w:sz w:val="20"/>
          <w:szCs w:val="20"/>
        </w:rPr>
        <w:t xml:space="preserve">Regulatory intelligence — FCA thematic reviews, supervisory feedback, and published Consumer Duty guidance reviewed during the period</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C. Assessment by Outcome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838"/>
      </w:tblGrid>
      <w:tr>
        <w:tc>
          <w:tcPr>
            <w:tcW w:type="dxa" w:w="3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Outcome</w:t>
            </w:r>
          </w:p>
        </w:tc>
        <w:tc>
          <w:tcPr>
            <w:tcW w:type="dxa" w:w="18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RAG Status</w:t>
            </w:r>
          </w:p>
        </w:tc>
        <w:tc>
          <w:tcPr>
            <w:tcW w:type="dxa" w:w="48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Summary Assessment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Products and Services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[GREEN / AMBER / RED]</w:t>
            </w:r>
          </w:p>
        </w:tc>
        <w:tc>
          <w:tcPr>
            <w:tcW w:type="dxa" w:w="4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[Summary of assessment — 2-3 sentences on whether products are meeting target market needs and key findings]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Price and Value</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[GREEN / AMBER / RED]</w:t>
            </w:r>
          </w:p>
        </w:tc>
        <w:tc>
          <w:tcPr>
            <w:tcW w:type="dxa" w:w="4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[Summary of value assessment outcomes and pricing fairness assessment]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Consumer Understanding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[GREEN / AMBER / RED]</w:t>
            </w:r>
          </w:p>
        </w:tc>
        <w:tc>
          <w:tcPr>
            <w:tcW w:type="dxa" w:w="48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[Summary of communication effectiveness and customer comprehension findings]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Consumer Support</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[GREEN / AMBER / RED]</w:t>
            </w:r>
          </w:p>
        </w:tc>
        <w:tc>
          <w:tcPr>
            <w:tcW w:type="dxa" w:w="48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[Summary of support channel effectiveness and accessibility findings]</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D. Vulnerable Customer Assessment</w:t>
      </w:r>
    </w:p>
    <w:p>
      <w:pPr>
        <w:spacing w:after="160"/>
      </w:pPr>
      <w:r>
        <w:rPr>
          <w:rFonts w:ascii="Arial" w:cs="Arial" w:eastAsia="Arial" w:hAnsi="Arial"/>
          <w:sz w:val="20"/>
          <w:szCs w:val="20"/>
        </w:rPr>
        <w:t xml:space="preserve">[This section should provide the board's assessment of outcomes specifically for vulnerable customers — identified across the four FCA drivers: health, life events, resilience, and capability. Include: how the firm identifies vulnerable customers; what proportion of the customer base is estimated to be vulnerable; whether vulnerable customers are receiving equivalent outcomes; any specific issues identified for vulnerable customers and actions being taken.]</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E. Distribution Chain Oversight</w:t>
      </w:r>
    </w:p>
    <w:p>
      <w:pPr>
        <w:spacing w:after="160"/>
      </w:pPr>
      <w:r>
        <w:rPr>
          <w:rFonts w:ascii="Arial" w:cs="Arial" w:eastAsia="Arial" w:hAnsi="Arial"/>
          <w:sz w:val="20"/>
          <w:szCs w:val="20"/>
        </w:rPr>
        <w:t xml:space="preserve">[For firms that distribute through intermediaries or third-party distributors: assessment of whether distributor relationships are supporting Consumer Duty compliance, any issues identified through distributor MI, and oversight arrangements in place.]</w:t>
      </w:r>
    </w:p>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F. Actions and Remediation Plan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4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Issue Identified</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Owner</w:t>
            </w:r>
          </w:p>
        </w:tc>
        <w:tc>
          <w:tcPr>
            <w:tcW w:type="dxa" w:w="2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Target Date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[Describe specific issue]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[Specific remediation action]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[Named individual]</w:t>
            </w:r>
          </w:p>
        </w:tc>
        <w:tc>
          <w:tcPr>
            <w:tcW w:type="dxa" w:w="2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[Date]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[Describe specific issue]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[Specific remediation action]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[Named individual]</w:t>
            </w:r>
          </w:p>
        </w:tc>
        <w:tc>
          <w:tcPr>
            <w:tcW w:type="dxa" w:w="2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[Date]</w:t>
            </w:r>
          </w:p>
        </w:tc>
      </w:tr>
    </w:tbl>
    <w:p>
      <w:pPr>
        <w:spacing w:after="160"/>
      </w:pPr>
      <w:r>
        <w:rPr>
          <w:rFonts w:ascii="Arial" w:cs="Arial" w:eastAsia="Arial" w:hAnsi="Arial"/>
          <w:sz w:val="20"/>
          <w:szCs w:val="20"/>
        </w:rPr>
        <w:t xml:space="preserve"/>
      </w:r>
    </w:p>
    <w:p>
      <w:pPr>
        <w:spacing w:after="160"/>
      </w:pPr>
      <w:r>
        <w:rPr>
          <w:rFonts w:ascii="Arial" w:cs="Arial" w:eastAsia="Arial" w:hAnsi="Arial"/>
          <w:b/>
          <w:bCs/>
          <w:sz w:val="20"/>
          <w:szCs w:val="20"/>
        </w:rPr>
        <w:t xml:space="preserve">G. Board Attestation Statement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"The Board of [FIRM NAME] has reviewed this Consumer Duty Annual Board Report for the period [dates] and is satisfied that it provides a fair and evidence-based assessment of the firm's delivery of the four Consumer Duty outcomes for retail customers. The Board approves this report and the remediation actions identified. The Board is satisfied that [FIRM NAME] is, on balance, delivering good outcomes for its retail customers, except as identified in Section F of this report, where remediation actions are underway."
Signed: [Chair / CEO]
Date: [Date]
For and on behalf of the Board of [FIRM NAME]</w:t>
            </w:r>
          </w:p>
        </w:tc>
      </w:tr>
    </w:tbl>
    <w:p>
      <w:pPr>
        <w:pStyle w:val="Heading1"/>
        <w:pageBreakBefore/>
      </w:pPr>
      <w:r>
        <w:rPr>
          <w:rFonts w:ascii="Arial" w:cs="Arial" w:eastAsia="Arial" w:hAnsi="Arial"/>
          <w:b/>
          <w:bCs/>
          <w:color w:val="1A2744"/>
          <w:sz w:val="32"/>
          <w:szCs w:val="32"/>
        </w:rPr>
        <w:t xml:space="preserve">5. Common FCA Findings — What to Avoid</w:t>
      </w:r>
    </w:p>
    <w:p>
      <w:pPr>
        <w:spacing w:after="160"/>
      </w:pPr>
      <w:r>
        <w:rPr>
          <w:rFonts w:ascii="Arial" w:cs="Arial" w:eastAsia="Arial" w:hAnsi="Arial"/>
          <w:sz w:val="20"/>
          <w:szCs w:val="20"/>
        </w:rPr>
        <w:t xml:space="preserve">The FCA has published supervisory feedback on Consumer Duty board reports. The following are the most common weaknesses identified by the regulator.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FCA Finding</w:t>
            </w:r>
          </w:p>
        </w:tc>
        <w:tc>
          <w:tcPr>
            <w:tcW w:type="dxa" w:w="64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How to Avoid It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Over-reliance on process metrics rather than outcomes</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Replace or supplement process metrics (e.g., 'we have a complaints process') with outcome metrics (e.g., 'complaint volumes fell 15%; root cause analysis shows 80% related to process errors now being remediated').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Board reports that are descriptive, not evaluative</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board report should reach conclusions — 'we are / are not delivering good outcomes in this area' — not just describe what the firm does. Management narrative that avoids a clear verdict will be challenged by supervisors.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Failure to identify or address poor outcomes</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Where poor outcomes exist, the FCA expects firms to acknowledge them and articulate specific remediation. Boards that identify no areas of concern in all four outcomes will face scepticism from supervisors.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Weak vulnerable customer sections</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vulnerable customer section must be substantive — not a brief statement that the firm has a vulnerable customer policy. Include data on identification rates, outcomes comparisons, and any issues found.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No clear ownership of remediation actions</w:t>
            </w:r>
          </w:p>
        </w:tc>
        <w:tc>
          <w:tcPr>
            <w:tcW w:type="dxa" w:w="64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Every remediation action in the report must have a named individual owner and a specific deadline. Actions owned by committees or teams rather than individuals are less effective and may be challenged.</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No forward-looking assessment</w:t>
            </w:r>
          </w:p>
        </w:tc>
        <w:tc>
          <w:tcPr>
            <w:tcW w:type="dxa" w:w="64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 expects boards to identify emerging risks to good outcomes — not just to assess the past. Include a forward-looking section covering risks anticipated in the coming year.</w:t>
            </w:r>
          </w:p>
        </w:tc>
      </w:tr>
    </w:tbl>
    <w:p>
      <w:pPr>
        <w:pStyle w:val="Heading1"/>
        <w:pageBreakBefore/>
      </w:pPr>
      <w:r>
        <w:rPr>
          <w:rFonts w:ascii="Arial" w:cs="Arial" w:eastAsia="Arial" w:hAnsi="Arial"/>
          <w:b/>
          <w:bCs/>
          <w:color w:val="1A2744"/>
          <w:sz w:val="32"/>
          <w:szCs w:val="32"/>
        </w:rPr>
        <w:t xml:space="preserve">6. Vulnerable Customer Checklist</w:t>
      </w:r>
    </w:p>
    <w:p>
      <w:pPr>
        <w:spacing w:after="160"/>
      </w:pPr>
      <w:r>
        <w:rPr>
          <w:rFonts w:ascii="Arial" w:cs="Arial" w:eastAsia="Arial" w:hAnsi="Arial"/>
          <w:b/>
          <w:bCs/>
          <w:sz w:val="20"/>
          <w:szCs w:val="20"/>
        </w:rPr>
        <w:t xml:space="preserve">Use this checklist to assess the firm's vulnerable customer framework in advance of the annual board report.</w:t>
      </w:r>
    </w:p>
    <w:p>
      <w:pPr>
        <w:spacing w:after="160"/>
      </w:pPr>
      <w:r>
        <w:rPr>
          <w:rFonts w:ascii="Arial" w:cs="Arial" w:eastAsia="Arial" w:hAnsi="Arial"/>
          <w:sz w:val="20"/>
          <w:szCs w:val="20"/>
        </w:rPr>
        <w:t xml:space="preserve"/>
      </w:r>
    </w:p>
    <w:p>
      <w:pPr>
        <w:spacing w:after="100"/>
      </w:pPr>
      <w:r>
        <w:rPr>
          <w:rFonts w:ascii="Arial" w:cs="Arial" w:eastAsia="Arial" w:hAnsi="Arial"/>
          <w:sz w:val="20"/>
          <w:szCs w:val="20"/>
        </w:rPr>
        <w:t xml:space="preserve">☐  Do we identify vulnerable customers across all four FCA drivers: health, life events, resilience, and capability?</w:t>
      </w:r>
    </w:p>
    <w:p>
      <w:pPr>
        <w:spacing w:after="100"/>
      </w:pPr>
      <w:r>
        <w:rPr>
          <w:rFonts w:ascii="Arial" w:cs="Arial" w:eastAsia="Arial" w:hAnsi="Arial"/>
          <w:sz w:val="20"/>
          <w:szCs w:val="20"/>
        </w:rPr>
        <w:t xml:space="preserve">☐  Do we have a dedicated vulnerable customer policy that is reviewed and updated regularly?</w:t>
      </w:r>
    </w:p>
    <w:p>
      <w:pPr>
        <w:spacing w:after="100"/>
      </w:pPr>
      <w:r>
        <w:rPr>
          <w:rFonts w:ascii="Arial" w:cs="Arial" w:eastAsia="Arial" w:hAnsi="Arial"/>
          <w:sz w:val="20"/>
          <w:szCs w:val="20"/>
        </w:rPr>
        <w:t xml:space="preserve">☐  Are front-line staff trained to identify and respond appropriately to signs of customer vulnerability?</w:t>
      </w:r>
    </w:p>
    <w:p>
      <w:pPr>
        <w:spacing w:after="100"/>
      </w:pPr>
      <w:r>
        <w:rPr>
          <w:rFonts w:ascii="Arial" w:cs="Arial" w:eastAsia="Arial" w:hAnsi="Arial"/>
          <w:sz w:val="20"/>
          <w:szCs w:val="20"/>
        </w:rPr>
        <w:t xml:space="preserve">☐  Do we track and report on outcomes for vulnerable customers separately from the general customer population?</w:t>
      </w:r>
    </w:p>
    <w:p>
      <w:pPr>
        <w:spacing w:after="100"/>
      </w:pPr>
      <w:r>
        <w:rPr>
          <w:rFonts w:ascii="Arial" w:cs="Arial" w:eastAsia="Arial" w:hAnsi="Arial"/>
          <w:sz w:val="20"/>
          <w:szCs w:val="20"/>
        </w:rPr>
        <w:t xml:space="preserve">☐  Does the board receive data on vulnerable customer identification rates and outcomes at least annually?</w:t>
      </w:r>
    </w:p>
    <w:p>
      <w:pPr>
        <w:spacing w:after="100"/>
      </w:pPr>
      <w:r>
        <w:rPr>
          <w:rFonts w:ascii="Arial" w:cs="Arial" w:eastAsia="Arial" w:hAnsi="Arial"/>
          <w:sz w:val="20"/>
          <w:szCs w:val="20"/>
        </w:rPr>
        <w:t xml:space="preserve">☐  Have we assessed whether our products and services present any specific risks to vulnerable customers?</w:t>
      </w:r>
    </w:p>
    <w:p>
      <w:pPr>
        <w:spacing w:after="100"/>
      </w:pPr>
      <w:r>
        <w:rPr>
          <w:rFonts w:ascii="Arial" w:cs="Arial" w:eastAsia="Arial" w:hAnsi="Arial"/>
          <w:sz w:val="20"/>
          <w:szCs w:val="20"/>
        </w:rPr>
        <w:t xml:space="preserve">☐  Do our communications meet the needs of customers with different capabilities (including visual impairment, low literacy, non-English speaking)?</w:t>
      </w:r>
    </w:p>
    <w:p>
      <w:pPr>
        <w:spacing w:after="100"/>
      </w:pPr>
      <w:r>
        <w:rPr>
          <w:rFonts w:ascii="Arial" w:cs="Arial" w:eastAsia="Arial" w:hAnsi="Arial"/>
          <w:sz w:val="20"/>
          <w:szCs w:val="20"/>
        </w:rPr>
        <w:t xml:space="preserve">☐  Where vulnerable customers receive worse outcomes than non-vulnerable customers, do we have a remediation plan?</w:t>
      </w:r>
    </w:p>
    <w:p>
      <w:pPr>
        <w:spacing w:after="100"/>
      </w:pPr>
      <w:r>
        <w:rPr>
          <w:rFonts w:ascii="Arial" w:cs="Arial" w:eastAsia="Arial" w:hAnsi="Arial"/>
          <w:sz w:val="20"/>
          <w:szCs w:val="20"/>
        </w:rPr>
        <w:t xml:space="preserve">☐  Are our telephony and digital channels accessible to customers with disabilities?</w:t>
      </w:r>
    </w:p>
    <w:p>
      <w:pPr>
        <w:spacing w:after="100"/>
      </w:pPr>
      <w:r>
        <w:rPr>
          <w:rFonts w:ascii="Arial" w:cs="Arial" w:eastAsia="Arial" w:hAnsi="Arial"/>
          <w:sz w:val="20"/>
          <w:szCs w:val="20"/>
        </w:rPr>
        <w:t xml:space="preserve">☐  Do we have a clear escalation process when front-line staff identify a customer in crisis or severe vulnerability?</w:t>
      </w:r>
    </w:p>
    <w:p>
      <w:pPr>
        <w:pStyle w:val="Heading1"/>
        <w:pageBreakBefore/>
      </w:pPr>
      <w:r>
        <w:rPr>
          <w:rFonts w:ascii="Arial" w:cs="Arial" w:eastAsia="Arial" w:hAnsi="Arial"/>
          <w:b/>
          <w:bCs/>
          <w:color w:val="1A2744"/>
          <w:sz w:val="32"/>
          <w:szCs w:val="32"/>
        </w:rPr>
        <w:t xml:space="preserve">7. Board Questions</w:t>
      </w:r>
    </w:p>
    <w:p>
      <w:pPr>
        <w:spacing w:after="160"/>
      </w:pPr>
      <w:r>
        <w:rPr>
          <w:rFonts w:ascii="Arial" w:cs="Arial" w:eastAsia="Arial" w:hAnsi="Arial"/>
          <w:b/>
          <w:bCs/>
          <w:sz w:val="20"/>
          <w:szCs w:val="20"/>
        </w:rPr>
        <w:t xml:space="preserve">The following questions should guide the board's review of the Consumer Duty annual report and its ongoing oversight of the Duty.</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Does this report contain sufficient evidence — as opposed to narrative — to support the board's conclusions on each of the four outcomes?</w:t>
      </w:r>
    </w:p>
    <w:p>
      <w:pPr>
        <w:pStyle w:val="ListParagraph"/>
        <w:numPr>
          <w:ilvl w:val="0"/>
          <w:numId w:val="2"/>
        </w:numPr>
      </w:pPr>
      <w:r>
        <w:rPr>
          <w:rFonts w:ascii="Arial" w:cs="Arial" w:eastAsia="Arial" w:hAnsi="Arial"/>
          <w:sz w:val="20"/>
          <w:szCs w:val="20"/>
        </w:rPr>
        <w:t xml:space="preserve">2. Are there any outcomes where we are unable to conclude that customers are receiving good outcomes? What is being done?</w:t>
      </w:r>
    </w:p>
    <w:p>
      <w:pPr>
        <w:pStyle w:val="ListParagraph"/>
        <w:numPr>
          <w:ilvl w:val="0"/>
          <w:numId w:val="2"/>
        </w:numPr>
      </w:pPr>
      <w:r>
        <w:rPr>
          <w:rFonts w:ascii="Arial" w:cs="Arial" w:eastAsia="Arial" w:hAnsi="Arial"/>
          <w:sz w:val="20"/>
          <w:szCs w:val="20"/>
        </w:rPr>
        <w:t xml:space="preserve">3. Are the remediation actions in the report specific, time-bound, and owned by named individuals?</w:t>
      </w:r>
    </w:p>
    <w:p>
      <w:pPr>
        <w:pStyle w:val="ListParagraph"/>
        <w:numPr>
          <w:ilvl w:val="0"/>
          <w:numId w:val="2"/>
        </w:numPr>
      </w:pPr>
      <w:r>
        <w:rPr>
          <w:rFonts w:ascii="Arial" w:cs="Arial" w:eastAsia="Arial" w:hAnsi="Arial"/>
          <w:sz w:val="20"/>
          <w:szCs w:val="20"/>
        </w:rPr>
        <w:t xml:space="preserve">4. How does our vulnerable customer identification rate compare to industry benchmarks or FCA expectations? Are we confident we are identifying all customers who may be vulnerable?</w:t>
      </w:r>
    </w:p>
    <w:p>
      <w:pPr>
        <w:pStyle w:val="ListParagraph"/>
        <w:numPr>
          <w:ilvl w:val="0"/>
          <w:numId w:val="2"/>
        </w:numPr>
      </w:pPr>
      <w:r>
        <w:rPr>
          <w:rFonts w:ascii="Arial" w:cs="Arial" w:eastAsia="Arial" w:hAnsi="Arial"/>
          <w:sz w:val="20"/>
          <w:szCs w:val="20"/>
        </w:rPr>
        <w:t xml:space="preserve">5. What did our value assessments find? Are any products assessed as providing poor value, and if so, what action have we taken?</w:t>
      </w:r>
    </w:p>
    <w:p>
      <w:pPr>
        <w:pStyle w:val="ListParagraph"/>
        <w:numPr>
          <w:ilvl w:val="0"/>
          <w:numId w:val="2"/>
        </w:numPr>
      </w:pPr>
      <w:r>
        <w:rPr>
          <w:rFonts w:ascii="Arial" w:cs="Arial" w:eastAsia="Arial" w:hAnsi="Arial"/>
          <w:sz w:val="20"/>
          <w:szCs w:val="20"/>
        </w:rPr>
        <w:t xml:space="preserve">6. Are there any products or services where customer complaint volumes, root causes, or comprehension testing results suggest customers are not understanding what they are buying?</w:t>
      </w:r>
    </w:p>
    <w:p>
      <w:pPr>
        <w:pStyle w:val="ListParagraph"/>
        <w:numPr>
          <w:ilvl w:val="0"/>
          <w:numId w:val="2"/>
        </w:numPr>
      </w:pPr>
      <w:r>
        <w:rPr>
          <w:rFonts w:ascii="Arial" w:cs="Arial" w:eastAsia="Arial" w:hAnsi="Arial"/>
          <w:sz w:val="20"/>
          <w:szCs w:val="20"/>
        </w:rPr>
        <w:t xml:space="preserve">7. How are we monitoring our distribution chain? Are we satisfied that our distributors are meeting Consumer Duty standards?</w:t>
      </w:r>
    </w:p>
    <w:p>
      <w:pPr>
        <w:pStyle w:val="ListParagraph"/>
        <w:numPr>
          <w:ilvl w:val="0"/>
          <w:numId w:val="2"/>
        </w:numPr>
      </w:pPr>
      <w:r>
        <w:rPr>
          <w:rFonts w:ascii="Arial" w:cs="Arial" w:eastAsia="Arial" w:hAnsi="Arial"/>
          <w:sz w:val="20"/>
          <w:szCs w:val="20"/>
        </w:rPr>
        <w:t xml:space="preserve">8. What FCA thematic reviews or supervisory feedback have we received this year? Have we incorporated the regulator's findings into this report?</w:t>
      </w:r>
    </w:p>
    <w:p>
      <w:pPr>
        <w:pStyle w:val="ListParagraph"/>
        <w:numPr>
          <w:ilvl w:val="0"/>
          <w:numId w:val="2"/>
        </w:numPr>
      </w:pPr>
      <w:r>
        <w:rPr>
          <w:rFonts w:ascii="Arial" w:cs="Arial" w:eastAsia="Arial" w:hAnsi="Arial"/>
          <w:sz w:val="20"/>
          <w:szCs w:val="20"/>
        </w:rPr>
        <w:t xml:space="preserve">9. Are there any areas where we have identified emerging risks to good outcomes in the year ahead?</w:t>
      </w:r>
    </w:p>
    <w:p>
      <w:pPr>
        <w:pStyle w:val="ListParagraph"/>
        <w:numPr>
          <w:ilvl w:val="0"/>
          <w:numId w:val="2"/>
        </w:numPr>
      </w:pPr>
      <w:r>
        <w:rPr>
          <w:rFonts w:ascii="Arial" w:cs="Arial" w:eastAsia="Arial" w:hAnsi="Arial"/>
          <w:sz w:val="20"/>
          <w:szCs w:val="20"/>
        </w:rPr>
        <w:t xml:space="preserve">10. Is the board satisfied that it has received sufficient MI throughout the year to form an evidence-based view on Consumer Duty outcomes — not just at the annual report stage?</w:t>
      </w:r>
    </w:p>
    <w:p>
      <w:pPr>
        <w:pStyle w:val="Heading1"/>
        <w:pageBreakBefore/>
      </w:pPr>
      <w:r>
        <w:rPr>
          <w:rFonts w:ascii="Arial" w:cs="Arial" w:eastAsia="Arial" w:hAnsi="Arial"/>
          <w:b/>
          <w:bCs/>
          <w:color w:val="1A2744"/>
          <w:sz w:val="32"/>
          <w:szCs w:val="32"/>
        </w:rPr>
        <w:t xml:space="preserve">8. Key Regulatory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6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PRIN 2A — Consumer Duty</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primary FCA rule implementing Consumer Duty. PRIN 2A.10.11R contains the annual board report obligation.</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FG22/5 — FCA Final Guidance on Consumer Duty</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FCA's detailed guidance on Consumer Duty expectations, published alongside PS22/9. Sets out what the FCA expects across all aspects of the Duty including the board report.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FG24/2 — Fair Value in Motor Finance</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FCA's approach to fair value enforcement — illustrates how the FCA applies Consumer Duty principles in practice and what a regulatory challenge looks like.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PS22/9 — Consumer Duty Policy Statement</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FCA's Policy Statement implementing Consumer Duty. Contains the rules, final guidance, and transitional arrangements.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FCA Consumer Duty — Board Report Guidance (published 2024)</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FCA published specific guidance on what good Consumer Duty board reports look like following the first wave of annual reports. Firms should review this before drafting the 2026 report.</w:t>
            </w:r>
          </w:p>
        </w:tc>
      </w:tr>
    </w:tbl>
    <w:p>
      <w:pPr>
        <w:pStyle w:val="Heading1"/>
        <w:pageBreakBefore/>
      </w:pPr>
      <w:r>
        <w:rPr>
          <w:rFonts w:ascii="Arial" w:cs="Arial" w:eastAsia="Arial" w:hAnsi="Arial"/>
          <w:b/>
          <w:bCs/>
          <w:color w:val="1A2744"/>
          <w:sz w:val="32"/>
          <w:szCs w:val="32"/>
        </w:rPr>
        <w:t xml:space="preserve">9.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FCA Consumer Duty — Board Annual Report Pack</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FCA Consumer Duty — Board Annual Report Pack</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2026-07-02T22:25:09.016Z</dcterms:created>
  <dcterms:modified xsi:type="dcterms:W3CDTF">2026-07-02T22:25:09.016Z</dcterms:modified>
</cp:coreProperties>
</file>

<file path=docProps/custom.xml><?xml version="1.0" encoding="utf-8"?>
<Properties xmlns="http://schemas.openxmlformats.org/officeDocument/2006/custom-properties" xmlns:vt="http://schemas.openxmlformats.org/officeDocument/2006/docPropsVTypes"/>
</file>