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800"/>
      </w:pPr>
      <w:r>
        <w:rPr>
          <w:rFonts w:ascii="Arial" w:cs="Arial" w:eastAsia="Arial" w:hAnsi="Arial"/>
          <w:b/>
          <w:bCs/>
          <w:color w:val="1A2744"/>
          <w:sz w:val="48"/>
          <w:szCs w:val="48"/>
        </w:rPr>
        <w:t xml:space="preserve">INFORMD</w:t>
      </w:r>
    </w:p>
    <w:p>
      <w:pPr>
        <w:spacing w:after="600" w:before="0"/>
      </w:pPr>
      <w:r>
        <w:rPr>
          <w:rFonts w:ascii="Arial" w:cs="Arial" w:eastAsia="Arial" w:hAnsi="Arial"/>
          <w:color w:val="555555"/>
          <w:sz w:val="22"/>
          <w:szCs w:val="22"/>
        </w:rPr>
        <w:t xml:space="preserve">Executive Intelligence for UK Senior Leaders  |  informd.co.uk</w:t>
      </w:r>
    </w:p>
    <w:p>
      <w:pPr>
        <w:pBdr>
          <w:top w:val="single" w:color="1A2744" w:sz="6"/>
        </w:pBdr>
        <w:spacing w:after="300" w:before="600"/>
      </w:pPr>
      <w:r>
        <w:rPr>
          <w:rFonts w:ascii="Arial" w:cs="Arial" w:eastAsia="Arial" w:hAnsi="Arial"/>
          <w:b/>
          <w:bCs/>
          <w:color w:val="1A2744"/>
          <w:sz w:val="52"/>
          <w:szCs w:val="52"/>
        </w:rPr>
        <w:t xml:space="preserve">Director Personal Liability 2026:</w:t>
      </w:r>
    </w:p>
    <w:p>
      <w:pPr>
        <w:spacing w:after="200" w:before="100"/>
      </w:pPr>
      <w:r>
        <w:rPr>
          <w:rFonts w:ascii="Arial" w:cs="Arial" w:eastAsia="Arial" w:hAnsi="Arial"/>
          <w:b/>
          <w:bCs/>
          <w:color w:val="1A2744"/>
          <w:sz w:val="52"/>
          <w:szCs w:val="52"/>
        </w:rPr>
        <w:t xml:space="preserve">The Complete NED Guide</w:t>
      </w:r>
    </w:p>
    <w:p>
      <w:pPr>
        <w:spacing w:after="600" w:before="200"/>
      </w:pPr>
      <w:r>
        <w:rPr>
          <w:rFonts w:ascii="Arial" w:cs="Arial" w:eastAsia="Arial" w:hAnsi="Arial"/>
          <w:color w:val="444444"/>
          <w:sz w:val="26"/>
          <w:szCs w:val="26"/>
        </w:rPr>
        <w:t xml:space="preserve">Understanding Your Personal Exposure Under SMCR, the UK Corporate Governance Code, Companies Act 2006, ICO Enforcement, and the Crime and Policing Act 2026</w:t>
      </w:r>
    </w:p>
    <w:p>
      <w:pPr>
        <w:spacing w:after="100" w:before="600"/>
      </w:pPr>
      <w:r>
        <w:rPr>
          <w:rFonts w:ascii="Arial" w:cs="Arial" w:eastAsia="Arial" w:hAnsi="Arial"/>
          <w:color w:val="666666"/>
          <w:sz w:val="22"/>
          <w:szCs w:val="22"/>
        </w:rPr>
        <w:t xml:space="preserve">July 2026</w:t>
      </w:r>
    </w:p>
    <w:p>
      <w:pPr>
        <w:spacing w:after="60" w:before="60"/>
      </w:pPr>
      <w:r>
        <w:rPr>
          <w:rFonts w:ascii="Arial" w:cs="Arial" w:eastAsia="Arial" w:hAnsi="Arial"/>
          <w:i/>
          <w:iCs/>
          <w:color w:val="888888"/>
          <w:sz w:val="20"/>
          <w:szCs w:val="20"/>
        </w:rPr>
        <w:t xml:space="preserve">For: Non-Executive Directors  |  Board Chairs  |  Senior Independent Directors  |  General Counsel</w:t>
      </w:r>
    </w:p>
    <w:p>
      <w:pPr>
        <w:pBdr>
          <w:top w:val="single" w:color="D0D5DD" w:sz="2"/>
        </w:pBdr>
        <w:spacing w:after="0" w:before="2400"/>
      </w:pPr>
      <w:r>
        <w:rPr>
          <w:rFonts w:ascii="Arial" w:cs="Arial" w:eastAsia="Arial" w:hAnsi="Arial"/>
          <w:color w:val="888888"/>
          <w:sz w:val="16"/>
          <w:szCs w:val="16"/>
        </w:rPr>
        <w:t xml:space="preserve">INFORMD Confidential  |  informd.co.uk  |  This document is for professional use only. It does not constitute legal advice.</w:t>
      </w:r>
    </w:p>
    <w:p>
      <w:pPr>
        <w:sectPr>
          <w:pgSz w:w="11906" w:h="16838" w:orient="portrait"/>
          <w:pgMar w:top="1134" w:right="1134" w:bottom="1134" w:left="1134" w:header="708" w:footer="708" w:gutter="0"/>
          <w:pgNumType/>
          <w:docGrid w:linePitch="360"/>
        </w:sectPr>
      </w:pPr>
    </w:p>
    <w:p>
      <w:pPr>
        <w:spacing w:after="200" w:before="0"/>
      </w:pPr>
      <w:r>
        <w:rPr>
          <w:rFonts w:ascii="Arial" w:cs="Arial" w:eastAsia="Arial" w:hAnsi="Arial"/>
          <w:b/>
          <w:bCs/>
          <w:color w:val="1A2744"/>
          <w:sz w:val="32"/>
          <w:szCs w:val="32"/>
        </w:rPr>
        <w:t xml:space="preserve">Contents</w:t>
      </w:r>
    </w:p>
    <w:sdt>
      <w:sdtPr/>
      <w:sdtContent>
        <w:p>
          <w:r>
            <w:fldChar w:fldCharType="begin" w:dirty="true"/>
            <w:instrText xml:space="preserve">TOC \h \o "1-2"</w:instrText>
            <w:fldChar w:fldCharType="separate"/>
          </w:r>
        </w:p>
        <w:p>
          <w:r>
            <w:fldChar w:fldCharType="end"/>
          </w:r>
        </w:p>
      </w:sdtContent>
    </w:sdt>
    <w:p>
      <w:r>
        <w:br w:type="page"/>
      </w:r>
    </w:p>
    <w:p>
      <w:pPr>
        <w:pStyle w:val="Heading1"/>
        <w:pageBreakBefore/>
        <w:spacing w:after="200" w:before="240"/>
      </w:pPr>
      <w:r>
        <w:rPr>
          <w:rFonts w:ascii="Arial" w:cs="Arial" w:eastAsia="Arial" w:hAnsi="Arial"/>
          <w:b/>
          <w:bCs/>
          <w:color w:val="1A2744"/>
          <w:sz w:val="32"/>
          <w:szCs w:val="32"/>
        </w:rPr>
        <w:t xml:space="preserve">1. Executive Summary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6"/>
              <w:left w:val="single" w:color="1A2744" w:sz="6"/>
              <w:bottom w:val="single" w:color="1A2744" w:sz="6"/>
              <w:right w:val="single" w:color="1A2744" w:sz="6"/>
            </w:tcBorders>
            <w:shd w:fill="F2F4F7" w:val="clear"/>
            <w:tcMar>
              <w:top w:type="dxa" w:w="160"/>
              <w:left w:type="dxa" w:w="240"/>
              <w:bottom w:type="dxa" w:w="160"/>
              <w:right w:type="dxa" w:w="240"/>
            </w:tcMar>
          </w:tcPr>
          <w:p>
            <w:pPr>
              <w:spacing w:after="80" w:before="0"/>
            </w:pPr>
            <w:r>
              <w:rPr>
                <w:rFonts w:ascii="Arial" w:cs="Arial" w:eastAsia="Arial" w:hAnsi="Arial"/>
                <w:b/>
                <w:bCs/>
                <w:color w:val="1A2744"/>
                <w:sz w:val="22"/>
                <w:szCs w:val="22"/>
              </w:rPr>
              <w:t xml:space="preserve">Key Message</w:t>
            </w:r>
          </w:p>
          <w:p>
            <w:pPr>
              <w:spacing w:after="0" w:before="0"/>
            </w:pPr>
            <w:r>
              <w:rPr>
                <w:rFonts w:ascii="Arial" w:cs="Arial" w:eastAsia="Arial" w:hAnsi="Arial"/>
                <w:sz w:val="22"/>
                <w:szCs w:val="22"/>
              </w:rPr>
              <w:t xml:space="preserve">Being a Non-Executive Director or Senior Manager at a UK company carries real personal liability risk in 2026. The combined effect of SMCR, the Companies Act 2006, ICO enforcement, DORA, and the new Crime and Policing Act 2026 means that individual accountability is no longer theoretical — it is actively enforced.</w:t>
            </w:r>
          </w:p>
        </w:tc>
      </w:tr>
    </w:tbl>
    <w:p>
      <w:pPr>
        <w:spacing w:after="100" w:before="100"/>
      </w:pPr>
      <w:r>
        <w:t xml:space="preserve"/>
      </w:r>
    </w:p>
    <w:p>
      <w:pPr>
        <w:spacing w:after="80" w:before="80"/>
      </w:pPr>
      <w:r>
        <w:rPr>
          <w:rFonts w:ascii="Arial" w:cs="Arial" w:eastAsia="Arial" w:hAnsi="Arial"/>
          <w:sz w:val="22"/>
          <w:szCs w:val="22"/>
        </w:rPr>
        <w:t xml:space="preserve">The personal liability landscape for UK directors and senior managers has changed materially in the past three years. Regulators and prosecutors are increasingly willing to pursue individuals — not just firms — for governance failures, data breaches, financial misconduct, and now serious fraud.</w:t>
      </w:r>
    </w:p>
    <w:p>
      <w:pPr>
        <w:spacing w:after="100" w:before="100"/>
      </w:pPr>
      <w:r>
        <w:t xml:space="preserve"/>
      </w:r>
    </w:p>
    <w:p>
      <w:pPr>
        <w:spacing w:after="80" w:before="80"/>
      </w:pPr>
      <w:r>
        <w:rPr>
          <w:rFonts w:ascii="Arial" w:cs="Arial" w:eastAsia="Arial" w:hAnsi="Arial"/>
          <w:sz w:val="22"/>
          <w:szCs w:val="22"/>
        </w:rPr>
        <w:t xml:space="preserve">This briefing consolidates the key personal liability regimes applicable to NEDs and senior managers at UK companies in 2026 into a single reference. It covers:</w:t>
      </w:r>
    </w:p>
    <w:p>
      <w:pPr>
        <w:pStyle w:val="ListParagraph"/>
        <w:numPr>
          <w:ilvl w:val="0"/>
          <w:numId w:val="2"/>
        </w:numPr>
        <w:spacing w:after="60" w:before="60"/>
      </w:pPr>
      <w:r>
        <w:rPr>
          <w:rFonts w:ascii="Arial" w:cs="Arial" w:eastAsia="Arial" w:hAnsi="Arial"/>
          <w:sz w:val="22"/>
          <w:szCs w:val="22"/>
        </w:rPr>
        <w:t xml:space="preserve">SMCR personal accountability for FCA/PRA-regulated firms</w:t>
      </w:r>
    </w:p>
    <w:p>
      <w:pPr>
        <w:pStyle w:val="ListParagraph"/>
        <w:numPr>
          <w:ilvl w:val="0"/>
          <w:numId w:val="2"/>
        </w:numPr>
        <w:spacing w:after="60" w:before="60"/>
      </w:pPr>
      <w:r>
        <w:rPr>
          <w:rFonts w:ascii="Arial" w:cs="Arial" w:eastAsia="Arial" w:hAnsi="Arial"/>
          <w:sz w:val="22"/>
          <w:szCs w:val="22"/>
        </w:rPr>
        <w:t xml:space="preserve">Companies Act 2006 director duties and disqualification risk</w:t>
      </w:r>
    </w:p>
    <w:p>
      <w:pPr>
        <w:pStyle w:val="ListParagraph"/>
        <w:numPr>
          <w:ilvl w:val="0"/>
          <w:numId w:val="2"/>
        </w:numPr>
        <w:spacing w:after="60" w:before="60"/>
      </w:pPr>
      <w:r>
        <w:rPr>
          <w:rFonts w:ascii="Arial" w:cs="Arial" w:eastAsia="Arial" w:hAnsi="Arial"/>
          <w:sz w:val="22"/>
          <w:szCs w:val="22"/>
        </w:rPr>
        <w:t xml:space="preserve">ICO enforcement powers against named individuals</w:t>
      </w:r>
    </w:p>
    <w:p>
      <w:pPr>
        <w:pStyle w:val="ListParagraph"/>
        <w:numPr>
          <w:ilvl w:val="0"/>
          <w:numId w:val="2"/>
        </w:numPr>
        <w:spacing w:after="60" w:before="60"/>
      </w:pPr>
      <w:r>
        <w:rPr>
          <w:rFonts w:ascii="Arial" w:cs="Arial" w:eastAsia="Arial" w:hAnsi="Arial"/>
          <w:sz w:val="22"/>
          <w:szCs w:val="22"/>
        </w:rPr>
        <w:t xml:space="preserve">DORA personal accountability for financial services boards</w:t>
      </w:r>
    </w:p>
    <w:p>
      <w:pPr>
        <w:pStyle w:val="ListParagraph"/>
        <w:numPr>
          <w:ilvl w:val="0"/>
          <w:numId w:val="2"/>
        </w:numPr>
        <w:spacing w:after="60" w:before="60"/>
      </w:pPr>
      <w:r>
        <w:rPr>
          <w:rFonts w:ascii="Arial" w:cs="Arial" w:eastAsia="Arial" w:hAnsi="Arial"/>
          <w:sz w:val="22"/>
          <w:szCs w:val="22"/>
        </w:rPr>
        <w:t xml:space="preserve">The Crime and Policing Act 2026 — the new corporate and individual criminal liability regime</w:t>
      </w:r>
    </w:p>
    <w:p>
      <w:pPr>
        <w:pStyle w:val="ListParagraph"/>
        <w:numPr>
          <w:ilvl w:val="0"/>
          <w:numId w:val="2"/>
        </w:numPr>
        <w:spacing w:after="60" w:before="60"/>
      </w:pPr>
      <w:r>
        <w:rPr>
          <w:rFonts w:ascii="Arial" w:cs="Arial" w:eastAsia="Arial" w:hAnsi="Arial"/>
          <w:sz w:val="22"/>
          <w:szCs w:val="22"/>
        </w:rPr>
        <w:t xml:space="preserve">Practical steps to protect yourself and evidence your governance</w:t>
      </w:r>
    </w:p>
    <w:p>
      <w:pPr>
        <w:spacing w:after="100" w:before="100"/>
      </w:pPr>
      <w:r>
        <w:t xml:space="preserve"/>
      </w:r>
    </w:p>
    <w:p>
      <w:pPr>
        <w:spacing w:after="80" w:before="80"/>
      </w:pPr>
      <w:r>
        <w:rPr>
          <w:rFonts w:ascii="Arial" w:cs="Arial" w:eastAsia="Arial" w:hAnsi="Arial"/>
          <w:sz w:val="22"/>
          <w:szCs w:val="22"/>
        </w:rPr>
        <w:t xml:space="preserve">Each section identifies the specific risk, the regulatory or legislative basis, and what a NED or senior manager should do personally to manage their exposure.</w:t>
      </w:r>
    </w:p>
    <w:p>
      <w:pPr>
        <w:pStyle w:val="Heading1"/>
        <w:pageBreakBefore/>
        <w:spacing w:after="200" w:before="240"/>
      </w:pPr>
      <w:r>
        <w:rPr>
          <w:rFonts w:ascii="Arial" w:cs="Arial" w:eastAsia="Arial" w:hAnsi="Arial"/>
          <w:b/>
          <w:bCs/>
          <w:color w:val="1A2744"/>
          <w:sz w:val="32"/>
          <w:szCs w:val="32"/>
        </w:rPr>
        <w:t xml:space="preserve">2. SMCR — Senior Manager Personal Accountability</w:t>
      </w:r>
    </w:p>
    <w:p>
      <w:pPr>
        <w:pStyle w:val="Heading2"/>
        <w:spacing w:after="120" w:before="200"/>
      </w:pPr>
      <w:r>
        <w:rPr>
          <w:rFonts w:ascii="Arial" w:cs="Arial" w:eastAsia="Arial" w:hAnsi="Arial"/>
          <w:b/>
          <w:bCs/>
          <w:color w:val="1A2744"/>
          <w:sz w:val="26"/>
          <w:szCs w:val="26"/>
        </w:rPr>
        <w:t xml:space="preserve">Who is in Scope</w:t>
      </w:r>
    </w:p>
    <w:p>
      <w:pPr>
        <w:spacing w:after="80" w:before="80"/>
      </w:pPr>
      <w:r>
        <w:rPr>
          <w:rFonts w:ascii="Arial" w:cs="Arial" w:eastAsia="Arial" w:hAnsi="Arial"/>
          <w:sz w:val="22"/>
          <w:szCs w:val="22"/>
        </w:rPr>
        <w:t xml:space="preserve">The Senior Managers and Certification Regime applies to all FCA and PRA-regulated firms. If you hold a Senior Manager Function (SMF) — including SMF9 (Chair), SMF12 (Chair of Audit Committee), SMF10 (Chair of Risk Committee), SMF11 (Chair of Remuneration Committee), or SMF13 (Chair of Nominations Committee) — you are personally named and accountable to the FCA and/or PRA.</w:t>
      </w:r>
    </w:p>
    <w:p>
      <w:pPr>
        <w:spacing w:after="100" w:before="10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6"/>
              <w:left w:val="single" w:color="1A2744" w:sz="6"/>
              <w:bottom w:val="single" w:color="1A2744" w:sz="6"/>
              <w:right w:val="single" w:color="1A2744" w:sz="6"/>
            </w:tcBorders>
            <w:shd w:fill="F2F4F7" w:val="clear"/>
            <w:tcMar>
              <w:top w:type="dxa" w:w="160"/>
              <w:left w:type="dxa" w:w="240"/>
              <w:bottom w:type="dxa" w:w="160"/>
              <w:right w:type="dxa" w:w="240"/>
            </w:tcMar>
          </w:tcPr>
          <w:p>
            <w:pPr>
              <w:spacing w:after="80" w:before="0"/>
            </w:pPr>
            <w:r>
              <w:rPr>
                <w:rFonts w:ascii="Arial" w:cs="Arial" w:eastAsia="Arial" w:hAnsi="Arial"/>
                <w:b/>
                <w:bCs/>
                <w:color w:val="1A2744"/>
                <w:sz w:val="22"/>
                <w:szCs w:val="22"/>
              </w:rPr>
              <w:t xml:space="preserve">NED Exposure</w:t>
            </w:r>
          </w:p>
          <w:p>
            <w:pPr>
              <w:spacing w:after="0" w:before="0"/>
            </w:pPr>
            <w:r>
              <w:rPr>
                <w:rFonts w:ascii="Arial" w:cs="Arial" w:eastAsia="Arial" w:hAnsi="Arial"/>
                <w:sz w:val="22"/>
                <w:szCs w:val="22"/>
              </w:rPr>
              <w:t xml:space="preserve">NEDs holding SMF roles are personally accountable to the regulator for the areas described in their Statements of Responsibilities (SoRs). If something goes wrong in your area of oversight, the FCA may investigate you personally — not just the firm.</w:t>
            </w:r>
          </w:p>
        </w:tc>
      </w:tr>
    </w:tbl>
    <w:p>
      <w:pPr>
        <w:spacing w:after="100" w:before="100"/>
      </w:pPr>
      <w:r>
        <w:t xml:space="preserve"/>
      </w:r>
    </w:p>
    <w:p>
      <w:pPr>
        <w:pStyle w:val="Heading2"/>
        <w:spacing w:after="120" w:before="200"/>
      </w:pPr>
      <w:r>
        <w:rPr>
          <w:rFonts w:ascii="Arial" w:cs="Arial" w:eastAsia="Arial" w:hAnsi="Arial"/>
          <w:b/>
          <w:bCs/>
          <w:color w:val="1A2744"/>
          <w:sz w:val="26"/>
          <w:szCs w:val="26"/>
        </w:rPr>
        <w:t xml:space="preserve">The Duty of Responsibility</w:t>
      </w:r>
    </w:p>
    <w:p>
      <w:pPr>
        <w:spacing w:after="80" w:before="80"/>
      </w:pPr>
      <w:r>
        <w:rPr>
          <w:rFonts w:ascii="Arial" w:cs="Arial" w:eastAsia="Arial" w:hAnsi="Arial"/>
          <w:sz w:val="22"/>
          <w:szCs w:val="22"/>
        </w:rPr>
        <w:t xml:space="preserve">Under section 66B of FSMA 2000, a Senior Manager may be held personally liable for a regulatory breach if the breach occurred in their area of responsibility AND they did not take reasonable steps to prevent it. This is the 'duty of responsibility.'</w:t>
      </w:r>
    </w:p>
    <w:p>
      <w:pPr>
        <w:spacing w:after="100" w:before="100"/>
      </w:pPr>
      <w:r>
        <w:t xml:space="preserve"/>
      </w:r>
    </w:p>
    <w:p>
      <w:pPr>
        <w:spacing w:after="80" w:before="80"/>
      </w:pPr>
      <w:r>
        <w:rPr>
          <w:rFonts w:ascii="Arial" w:cs="Arial" w:eastAsia="Arial" w:hAnsi="Arial"/>
          <w:sz w:val="22"/>
          <w:szCs w:val="22"/>
        </w:rPr>
        <w:t xml:space="preserve">The FCA has used this power. Enforcement actions against named senior managers have included:</w:t>
      </w:r>
    </w:p>
    <w:p>
      <w:pPr>
        <w:pStyle w:val="ListParagraph"/>
        <w:numPr>
          <w:ilvl w:val="0"/>
          <w:numId w:val="2"/>
        </w:numPr>
        <w:spacing w:after="60" w:before="60"/>
      </w:pPr>
      <w:r>
        <w:rPr>
          <w:rFonts w:ascii="Arial" w:cs="Arial" w:eastAsia="Arial" w:hAnsi="Arial"/>
          <w:sz w:val="22"/>
          <w:szCs w:val="22"/>
        </w:rPr>
        <w:t xml:space="preserve">Failure to oversee adequate financial crime controls</w:t>
      </w:r>
    </w:p>
    <w:p>
      <w:pPr>
        <w:pStyle w:val="ListParagraph"/>
        <w:numPr>
          <w:ilvl w:val="0"/>
          <w:numId w:val="2"/>
        </w:numPr>
        <w:spacing w:after="60" w:before="60"/>
      </w:pPr>
      <w:r>
        <w:rPr>
          <w:rFonts w:ascii="Arial" w:cs="Arial" w:eastAsia="Arial" w:hAnsi="Arial"/>
          <w:sz w:val="22"/>
          <w:szCs w:val="22"/>
        </w:rPr>
        <w:t xml:space="preserve">Insufficient oversight of operational resilience arrangements</w:t>
      </w:r>
    </w:p>
    <w:p>
      <w:pPr>
        <w:pStyle w:val="ListParagraph"/>
        <w:numPr>
          <w:ilvl w:val="0"/>
          <w:numId w:val="2"/>
        </w:numPr>
        <w:spacing w:after="60" w:before="60"/>
      </w:pPr>
      <w:r>
        <w:rPr>
          <w:rFonts w:ascii="Arial" w:cs="Arial" w:eastAsia="Arial" w:hAnsi="Arial"/>
          <w:sz w:val="22"/>
          <w:szCs w:val="22"/>
        </w:rPr>
        <w:t xml:space="preserve">Failure to escalate known concerns to the board</w:t>
      </w:r>
    </w:p>
    <w:p>
      <w:pPr>
        <w:pStyle w:val="ListParagraph"/>
        <w:numPr>
          <w:ilvl w:val="0"/>
          <w:numId w:val="2"/>
        </w:numPr>
        <w:spacing w:after="60" w:before="60"/>
      </w:pPr>
      <w:r>
        <w:rPr>
          <w:rFonts w:ascii="Arial" w:cs="Arial" w:eastAsia="Arial" w:hAnsi="Arial"/>
          <w:sz w:val="22"/>
          <w:szCs w:val="22"/>
        </w:rPr>
        <w:t xml:space="preserve">Inadequate oversight of third-party and outsourcing arrangements</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Reasonable Steps — Your Personal Defence</w:t>
      </w:r>
    </w:p>
    <w:p>
      <w:pPr>
        <w:spacing w:after="80" w:before="80"/>
      </w:pPr>
      <w:r>
        <w:rPr>
          <w:rFonts w:ascii="Arial" w:cs="Arial" w:eastAsia="Arial" w:hAnsi="Arial"/>
          <w:sz w:val="22"/>
          <w:szCs w:val="22"/>
        </w:rPr>
        <w:t xml:space="preserve">The reasonable steps defence requires you to demonstrate — with evidence — that you actively engaged with your area of responsibility. Passive board attendance is not sufficient. Evidence that supports a reasonable steps defence includes:</w:t>
      </w:r>
    </w:p>
    <w:p>
      <w:pPr>
        <w:pStyle w:val="ListParagraph"/>
        <w:numPr>
          <w:ilvl w:val="0"/>
          <w:numId w:val="2"/>
        </w:numPr>
        <w:spacing w:after="60" w:before="60"/>
      </w:pPr>
      <w:r>
        <w:rPr>
          <w:rFonts w:ascii="Arial" w:cs="Arial" w:eastAsia="Arial" w:hAnsi="Arial"/>
          <w:sz w:val="22"/>
          <w:szCs w:val="22"/>
        </w:rPr>
        <w:t xml:space="preserve">Minutes showing you raised specific questions on your area of responsibility</w:t>
      </w:r>
    </w:p>
    <w:p>
      <w:pPr>
        <w:pStyle w:val="ListParagraph"/>
        <w:numPr>
          <w:ilvl w:val="0"/>
          <w:numId w:val="2"/>
        </w:numPr>
        <w:spacing w:after="60" w:before="60"/>
      </w:pPr>
      <w:r>
        <w:rPr>
          <w:rFonts w:ascii="Arial" w:cs="Arial" w:eastAsia="Arial" w:hAnsi="Arial"/>
          <w:sz w:val="22"/>
          <w:szCs w:val="22"/>
        </w:rPr>
        <w:t xml:space="preserve">Written challenges to management on risk, compliance, or control failures</w:t>
      </w:r>
    </w:p>
    <w:p>
      <w:pPr>
        <w:pStyle w:val="ListParagraph"/>
        <w:numPr>
          <w:ilvl w:val="0"/>
          <w:numId w:val="2"/>
        </w:numPr>
        <w:spacing w:after="60" w:before="60"/>
      </w:pPr>
      <w:r>
        <w:rPr>
          <w:rFonts w:ascii="Arial" w:cs="Arial" w:eastAsia="Arial" w:hAnsi="Arial"/>
          <w:sz w:val="22"/>
          <w:szCs w:val="22"/>
        </w:rPr>
        <w:t xml:space="preserve">Evidence you requested information you did not receive</w:t>
      </w:r>
    </w:p>
    <w:p>
      <w:pPr>
        <w:pStyle w:val="ListParagraph"/>
        <w:numPr>
          <w:ilvl w:val="0"/>
          <w:numId w:val="2"/>
        </w:numPr>
        <w:spacing w:after="60" w:before="60"/>
      </w:pPr>
      <w:r>
        <w:rPr>
          <w:rFonts w:ascii="Arial" w:cs="Arial" w:eastAsia="Arial" w:hAnsi="Arial"/>
          <w:sz w:val="22"/>
          <w:szCs w:val="22"/>
        </w:rPr>
        <w:t xml:space="preserve">Training records demonstrating you maintained competence in your area</w:t>
      </w:r>
    </w:p>
    <w:p>
      <w:pPr>
        <w:pStyle w:val="ListParagraph"/>
        <w:numPr>
          <w:ilvl w:val="0"/>
          <w:numId w:val="2"/>
        </w:numPr>
        <w:spacing w:after="60" w:before="60"/>
      </w:pPr>
      <w:r>
        <w:rPr>
          <w:rFonts w:ascii="Arial" w:cs="Arial" w:eastAsia="Arial" w:hAnsi="Arial"/>
          <w:sz w:val="22"/>
          <w:szCs w:val="22"/>
        </w:rPr>
        <w:t xml:space="preserve">Documented escalations where you believed board-level concern was warranted</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SMCR Reform 2026 — What is Changing</w:t>
      </w:r>
    </w:p>
    <w:p>
      <w:pPr>
        <w:spacing w:after="80" w:before="80"/>
      </w:pPr>
      <w:r>
        <w:rPr>
          <w:rFonts w:ascii="Arial" w:cs="Arial" w:eastAsia="Arial" w:hAnsi="Arial"/>
          <w:sz w:val="22"/>
          <w:szCs w:val="22"/>
        </w:rPr>
        <w:t xml:space="preserve">The FCA and PRA published joint Consultation Papers (CP25/21 and CP18/25) in July 2025 proposing significant changes to SMCR. HM Treasury has confirmed Phase 2 legislative changes that will remove the Certification Regime from primary legislation, reduce the number of SMF roles, and reduce the burden of Statements of Responsibilities. However: the core duty of responsibility for named Senior Managers is not being removed. Personal accountability remains.</w:t>
      </w:r>
    </w:p>
    <w:p>
      <w:pPr>
        <w:pStyle w:val="Heading1"/>
        <w:pageBreakBefore/>
        <w:spacing w:after="200" w:before="240"/>
      </w:pPr>
      <w:r>
        <w:rPr>
          <w:rFonts w:ascii="Arial" w:cs="Arial" w:eastAsia="Arial" w:hAnsi="Arial"/>
          <w:b/>
          <w:bCs/>
          <w:color w:val="1A2744"/>
          <w:sz w:val="32"/>
          <w:szCs w:val="32"/>
        </w:rPr>
        <w:t xml:space="preserve">3. Companies Act 2006 — Director Duties and Disqualification</w:t>
      </w:r>
    </w:p>
    <w:p>
      <w:pPr>
        <w:pStyle w:val="Heading2"/>
        <w:spacing w:after="120" w:before="200"/>
      </w:pPr>
      <w:r>
        <w:rPr>
          <w:rFonts w:ascii="Arial" w:cs="Arial" w:eastAsia="Arial" w:hAnsi="Arial"/>
          <w:b/>
          <w:bCs/>
          <w:color w:val="1A2744"/>
          <w:sz w:val="26"/>
          <w:szCs w:val="26"/>
        </w:rPr>
        <w:t xml:space="preserve">The Seven Statutory Director Duties</w:t>
      </w:r>
    </w:p>
    <w:p>
      <w:pPr>
        <w:spacing w:after="80" w:before="80"/>
      </w:pPr>
      <w:r>
        <w:rPr>
          <w:rFonts w:ascii="Arial" w:cs="Arial" w:eastAsia="Arial" w:hAnsi="Arial"/>
          <w:sz w:val="22"/>
          <w:szCs w:val="22"/>
        </w:rPr>
        <w:t xml:space="preserve">Every director of a UK company — executive or non-executive — owes the following statutory duties under the Companies Act 2006. Breach of these duties can expose you to personal civil liability and, in serious cases, disqualification:</w:t>
      </w:r>
    </w:p>
    <w:p>
      <w:pPr>
        <w:spacing w:after="100" w:before="10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800"/>
        <w:gridCol w:w="2800"/>
        <w:gridCol w:w="6000"/>
      </w:tblGrid>
      <w:tr>
        <w:trPr>
          <w:tblHeader/>
        </w:trPr>
        <w:tc>
          <w:tcPr>
            <w:tcW w:type="dxa" w:w="8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s.</w:t>
            </w:r>
          </w:p>
        </w:tc>
        <w:tc>
          <w:tcPr>
            <w:tcW w:type="dxa" w:w="28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Duty</w:t>
            </w:r>
          </w:p>
        </w:tc>
        <w:tc>
          <w:tcPr>
            <w:tcW w:type="dxa" w:w="60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NED Risk in 2026</w:t>
            </w:r>
          </w:p>
        </w:tc>
      </w:tr>
      <w:tr>
        <w:tc>
          <w:tcPr>
            <w:tcW w:type="dxa" w:w="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171</w:t>
            </w:r>
          </w:p>
        </w:tc>
        <w:tc>
          <w:tcPr>
            <w:tcW w:type="dxa" w:w="2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Act within powers</w:t>
            </w:r>
          </w:p>
        </w:tc>
        <w:tc>
          <w:tcPr>
            <w:tcW w:type="dxa" w:w="6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Approving resolutions or transactions outside the company's constitution or your delegated authority.</w:t>
            </w:r>
          </w:p>
        </w:tc>
      </w:tr>
      <w:tr>
        <w:tc>
          <w:tcPr>
            <w:tcW w:type="dxa" w:w="8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172</w:t>
            </w:r>
          </w:p>
        </w:tc>
        <w:tc>
          <w:tcPr>
            <w:tcW w:type="dxa" w:w="28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Promote the success of the company</w:t>
            </w:r>
          </w:p>
        </w:tc>
        <w:tc>
          <w:tcPr>
            <w:tcW w:type="dxa" w:w="6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Rubber-stamping management decisions without genuine scrutiny. Courts have found NEDs liable for not challenging flawed strategies.</w:t>
            </w:r>
          </w:p>
        </w:tc>
      </w:tr>
      <w:tr>
        <w:tc>
          <w:tcPr>
            <w:tcW w:type="dxa" w:w="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173</w:t>
            </w:r>
          </w:p>
        </w:tc>
        <w:tc>
          <w:tcPr>
            <w:tcW w:type="dxa" w:w="2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Exercise independent judgement</w:t>
            </w:r>
          </w:p>
        </w:tc>
        <w:tc>
          <w:tcPr>
            <w:tcW w:type="dxa" w:w="6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Deferring entirely to executive management. NEDs must form independent views.</w:t>
            </w:r>
          </w:p>
        </w:tc>
      </w:tr>
      <w:tr>
        <w:tc>
          <w:tcPr>
            <w:tcW w:type="dxa" w:w="8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174</w:t>
            </w:r>
          </w:p>
        </w:tc>
        <w:tc>
          <w:tcPr>
            <w:tcW w:type="dxa" w:w="28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Exercise reasonable care, skill and diligence</w:t>
            </w:r>
          </w:p>
        </w:tc>
        <w:tc>
          <w:tcPr>
            <w:tcW w:type="dxa" w:w="6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The standard is objective (what a reasonably diligent director with your skills would do) AND subjective (what you specifically knew). Your professional background raises the bar.</w:t>
            </w:r>
          </w:p>
        </w:tc>
      </w:tr>
      <w:tr>
        <w:tc>
          <w:tcPr>
            <w:tcW w:type="dxa" w:w="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175</w:t>
            </w:r>
          </w:p>
        </w:tc>
        <w:tc>
          <w:tcPr>
            <w:tcW w:type="dxa" w:w="2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Avoid conflicts of interest</w:t>
            </w:r>
          </w:p>
        </w:tc>
        <w:tc>
          <w:tcPr>
            <w:tcW w:type="dxa" w:w="6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Outside roles, investments, or relationships that conflict with board duties. Failure to disclose = breach.</w:t>
            </w:r>
          </w:p>
        </w:tc>
      </w:tr>
      <w:tr>
        <w:tc>
          <w:tcPr>
            <w:tcW w:type="dxa" w:w="8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176</w:t>
            </w:r>
          </w:p>
        </w:tc>
        <w:tc>
          <w:tcPr>
            <w:tcW w:type="dxa" w:w="28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Not accept benefits from third parties</w:t>
            </w:r>
          </w:p>
        </w:tc>
        <w:tc>
          <w:tcPr>
            <w:tcW w:type="dxa" w:w="6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Gifts, hospitality, advisory fees from parties doing business with the company.</w:t>
            </w:r>
          </w:p>
        </w:tc>
      </w:tr>
      <w:tr>
        <w:tc>
          <w:tcPr>
            <w:tcW w:type="dxa" w:w="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177</w:t>
            </w:r>
          </w:p>
        </w:tc>
        <w:tc>
          <w:tcPr>
            <w:tcW w:type="dxa" w:w="2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Declare interests in transactions</w:t>
            </w:r>
          </w:p>
        </w:tc>
        <w:tc>
          <w:tcPr>
            <w:tcW w:type="dxa" w:w="6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Failing to declare a personal interest in a transaction the board is approving.</w:t>
            </w:r>
          </w:p>
        </w:tc>
      </w:tr>
    </w:tbl>
    <w:p>
      <w:pPr>
        <w:spacing w:after="100" w:before="100"/>
      </w:pPr>
      <w:r>
        <w:t xml:space="preserve"/>
      </w:r>
    </w:p>
    <w:p>
      <w:pPr>
        <w:pStyle w:val="Heading2"/>
        <w:spacing w:after="120" w:before="200"/>
      </w:pPr>
      <w:r>
        <w:rPr>
          <w:rFonts w:ascii="Arial" w:cs="Arial" w:eastAsia="Arial" w:hAnsi="Arial"/>
          <w:b/>
          <w:bCs/>
          <w:color w:val="1A2744"/>
          <w:sz w:val="26"/>
          <w:szCs w:val="26"/>
        </w:rPr>
        <w:t xml:space="preserve">Director Disqualification</w:t>
      </w:r>
    </w:p>
    <w:p>
      <w:pPr>
        <w:spacing w:after="80" w:before="80"/>
      </w:pPr>
      <w:r>
        <w:rPr>
          <w:rFonts w:ascii="Arial" w:cs="Arial" w:eastAsia="Arial" w:hAnsi="Arial"/>
          <w:sz w:val="22"/>
          <w:szCs w:val="22"/>
        </w:rPr>
        <w:t xml:space="preserve">Under the Company Directors Disqualification Act 1986 (CDDA), a director who is found unfit to be concerned in the management of a company can be disqualified for between 2 and 15 years. The Insolvency Service investigates directors of failed companies and can pursue disqualification based on:</w:t>
      </w:r>
    </w:p>
    <w:p>
      <w:pPr>
        <w:pStyle w:val="ListParagraph"/>
        <w:numPr>
          <w:ilvl w:val="0"/>
          <w:numId w:val="2"/>
        </w:numPr>
        <w:spacing w:after="60" w:before="60"/>
      </w:pPr>
      <w:r>
        <w:rPr>
          <w:rFonts w:ascii="Arial" w:cs="Arial" w:eastAsia="Arial" w:hAnsi="Arial"/>
          <w:sz w:val="22"/>
          <w:szCs w:val="22"/>
        </w:rPr>
        <w:t xml:space="preserve">Failure to maintain adequate financial controls</w:t>
      </w:r>
    </w:p>
    <w:p>
      <w:pPr>
        <w:pStyle w:val="ListParagraph"/>
        <w:numPr>
          <w:ilvl w:val="0"/>
          <w:numId w:val="2"/>
        </w:numPr>
        <w:spacing w:after="60" w:before="60"/>
      </w:pPr>
      <w:r>
        <w:rPr>
          <w:rFonts w:ascii="Arial" w:cs="Arial" w:eastAsia="Arial" w:hAnsi="Arial"/>
          <w:sz w:val="22"/>
          <w:szCs w:val="22"/>
        </w:rPr>
        <w:t xml:space="preserve">Continued trading while insolvent</w:t>
      </w:r>
    </w:p>
    <w:p>
      <w:pPr>
        <w:pStyle w:val="ListParagraph"/>
        <w:numPr>
          <w:ilvl w:val="0"/>
          <w:numId w:val="2"/>
        </w:numPr>
        <w:spacing w:after="60" w:before="60"/>
      </w:pPr>
      <w:r>
        <w:rPr>
          <w:rFonts w:ascii="Arial" w:cs="Arial" w:eastAsia="Arial" w:hAnsi="Arial"/>
          <w:sz w:val="22"/>
          <w:szCs w:val="22"/>
        </w:rPr>
        <w:t xml:space="preserve">Failure to keep proper accounting records</w:t>
      </w:r>
    </w:p>
    <w:p>
      <w:pPr>
        <w:pStyle w:val="ListParagraph"/>
        <w:numPr>
          <w:ilvl w:val="0"/>
          <w:numId w:val="2"/>
        </w:numPr>
        <w:spacing w:after="60" w:before="60"/>
      </w:pPr>
      <w:r>
        <w:rPr>
          <w:rFonts w:ascii="Arial" w:cs="Arial" w:eastAsia="Arial" w:hAnsi="Arial"/>
          <w:sz w:val="22"/>
          <w:szCs w:val="22"/>
        </w:rPr>
        <w:t xml:space="preserve">Breach of fiduciary duties leading to financial loss</w:t>
      </w:r>
    </w:p>
    <w:p>
      <w:pPr>
        <w:spacing w:after="100" w:before="100"/>
      </w:pPr>
      <w:r>
        <w:t xml:space="preserve"/>
      </w:r>
    </w:p>
    <w:p>
      <w:pPr>
        <w:spacing w:after="80" w:before="80"/>
      </w:pPr>
      <w:r>
        <w:rPr>
          <w:rFonts w:ascii="Arial" w:cs="Arial" w:eastAsia="Arial" w:hAnsi="Arial"/>
          <w:sz w:val="22"/>
          <w:szCs w:val="22"/>
        </w:rPr>
        <w:t xml:space="preserve">In 2024-2025, the Insolvency Service significantly increased its use of disqualification undertakings as an alternative to court proceedings — allowing faster resolution. NEDs are not immune: the CDDA applies to shadow directors and de facto directors as well as formally appointed ones.</w:t>
      </w:r>
    </w:p>
    <w:p>
      <w:pPr>
        <w:pStyle w:val="Heading1"/>
        <w:pageBreakBefore/>
        <w:spacing w:after="200" w:before="240"/>
      </w:pPr>
      <w:r>
        <w:rPr>
          <w:rFonts w:ascii="Arial" w:cs="Arial" w:eastAsia="Arial" w:hAnsi="Arial"/>
          <w:b/>
          <w:bCs/>
          <w:color w:val="1A2744"/>
          <w:sz w:val="32"/>
          <w:szCs w:val="32"/>
        </w:rPr>
        <w:t xml:space="preserve">4. ICO Enforcement — Personal Liability for Data Breaches</w:t>
      </w:r>
    </w:p>
    <w:p>
      <w:pPr>
        <w:pStyle w:val="Heading2"/>
        <w:spacing w:after="120" w:before="200"/>
      </w:pPr>
      <w:r>
        <w:rPr>
          <w:rFonts w:ascii="Arial" w:cs="Arial" w:eastAsia="Arial" w:hAnsi="Arial"/>
          <w:b/>
          <w:bCs/>
          <w:color w:val="1A2744"/>
          <w:sz w:val="26"/>
          <w:szCs w:val="26"/>
        </w:rPr>
        <w:t xml:space="preserve">The ICO's Powers Against Individuals</w:t>
      </w:r>
    </w:p>
    <w:p>
      <w:pPr>
        <w:spacing w:after="80" w:before="80"/>
      </w:pPr>
      <w:r>
        <w:rPr>
          <w:rFonts w:ascii="Arial" w:cs="Arial" w:eastAsia="Arial" w:hAnsi="Arial"/>
          <w:sz w:val="22"/>
          <w:szCs w:val="22"/>
        </w:rPr>
        <w:t xml:space="preserve">The Information Commissioner's Office (ICO) has significant and growing powers to pursue individuals — not just organisations — for data protection failures. Under the UK GDPR and the Data Protection Act 2018, the ICO can:</w:t>
      </w:r>
    </w:p>
    <w:p>
      <w:pPr>
        <w:pStyle w:val="ListParagraph"/>
        <w:numPr>
          <w:ilvl w:val="0"/>
          <w:numId w:val="2"/>
        </w:numPr>
        <w:spacing w:after="60" w:before="60"/>
      </w:pPr>
      <w:r>
        <w:rPr>
          <w:rFonts w:ascii="Arial" w:cs="Arial" w:eastAsia="Arial" w:hAnsi="Arial"/>
          <w:sz w:val="22"/>
          <w:szCs w:val="22"/>
        </w:rPr>
        <w:t xml:space="preserve">Issue monetary penalties against the data controller (the company)</w:t>
      </w:r>
    </w:p>
    <w:p>
      <w:pPr>
        <w:pStyle w:val="ListParagraph"/>
        <w:numPr>
          <w:ilvl w:val="0"/>
          <w:numId w:val="2"/>
        </w:numPr>
        <w:spacing w:after="60" w:before="60"/>
      </w:pPr>
      <w:r>
        <w:rPr>
          <w:rFonts w:ascii="Arial" w:cs="Arial" w:eastAsia="Arial" w:hAnsi="Arial"/>
          <w:sz w:val="22"/>
          <w:szCs w:val="22"/>
        </w:rPr>
        <w:t xml:space="preserve">Issue enforcement notices requiring specific actions</w:t>
      </w:r>
    </w:p>
    <w:p>
      <w:pPr>
        <w:pStyle w:val="ListParagraph"/>
        <w:numPr>
          <w:ilvl w:val="0"/>
          <w:numId w:val="2"/>
        </w:numPr>
        <w:spacing w:after="60" w:before="60"/>
      </w:pPr>
      <w:r>
        <w:rPr>
          <w:rFonts w:ascii="Arial" w:cs="Arial" w:eastAsia="Arial" w:hAnsi="Arial"/>
          <w:sz w:val="22"/>
          <w:szCs w:val="22"/>
        </w:rPr>
        <w:t xml:space="preserve">Prosecute individuals for offences under the DPA 2018 — including deliberate or reckless data processing without authorisation (s.170 DPA 2018)</w:t>
      </w:r>
    </w:p>
    <w:p>
      <w:pPr>
        <w:pStyle w:val="ListParagraph"/>
        <w:numPr>
          <w:ilvl w:val="0"/>
          <w:numId w:val="2"/>
        </w:numPr>
        <w:spacing w:after="60" w:before="60"/>
      </w:pPr>
      <w:r>
        <w:rPr>
          <w:rFonts w:ascii="Arial" w:cs="Arial" w:eastAsia="Arial" w:hAnsi="Arial"/>
          <w:sz w:val="22"/>
          <w:szCs w:val="22"/>
        </w:rPr>
        <w:t xml:space="preserve">Name and publicise the circumstances of breaches, damaging personal reputation even without a formal penalty</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Director Liability for Organisational DPA Offences</w:t>
      </w:r>
    </w:p>
    <w:p>
      <w:pPr>
        <w:spacing w:after="80" w:before="80"/>
      </w:pPr>
      <w:r>
        <w:rPr>
          <w:rFonts w:ascii="Arial" w:cs="Arial" w:eastAsia="Arial" w:hAnsi="Arial"/>
          <w:sz w:val="22"/>
          <w:szCs w:val="22"/>
        </w:rPr>
        <w:t xml:space="preserve">Section 198 of the Data Protection Act 2018 provides that where an offence under the Act is committed with the 'consent or connivance' of, or is attributable to the 'neglect' of, a director or senior officer, that individual commits the offence and may be personally prosecuted.</w:t>
      </w:r>
    </w:p>
    <w:p>
      <w:pPr>
        <w:spacing w:after="100" w:before="10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6"/>
              <w:left w:val="single" w:color="1A2744" w:sz="6"/>
              <w:bottom w:val="single" w:color="1A2744" w:sz="6"/>
              <w:right w:val="single" w:color="1A2744" w:sz="6"/>
            </w:tcBorders>
            <w:shd w:fill="F2F4F7" w:val="clear"/>
            <w:tcMar>
              <w:top w:type="dxa" w:w="160"/>
              <w:left w:type="dxa" w:w="240"/>
              <w:bottom w:type="dxa" w:w="160"/>
              <w:right w:type="dxa" w:w="240"/>
            </w:tcMar>
          </w:tcPr>
          <w:p>
            <w:pPr>
              <w:spacing w:after="80" w:before="0"/>
            </w:pPr>
            <w:r>
              <w:rPr>
                <w:rFonts w:ascii="Arial" w:cs="Arial" w:eastAsia="Arial" w:hAnsi="Arial"/>
                <w:b/>
                <w:bCs/>
                <w:color w:val="1A2744"/>
                <w:sz w:val="22"/>
                <w:szCs w:val="22"/>
              </w:rPr>
              <w:t xml:space="preserve">Personal Prosecution Risk</w:t>
            </w:r>
          </w:p>
          <w:p>
            <w:pPr>
              <w:spacing w:after="0" w:before="0"/>
            </w:pPr>
            <w:r>
              <w:rPr>
                <w:rFonts w:ascii="Arial" w:cs="Arial" w:eastAsia="Arial" w:hAnsi="Arial"/>
                <w:sz w:val="22"/>
                <w:szCs w:val="22"/>
              </w:rPr>
              <w:t xml:space="preserve">'Neglect' under s.198 DPA 2018 is a low bar. A NED who was aware of serious data protection risks, had the ability to escalate, and failed to do so may meet the threshold — even without actively directing the breach.</w:t>
            </w:r>
          </w:p>
        </w:tc>
      </w:tr>
    </w:tbl>
    <w:p>
      <w:pPr>
        <w:spacing w:after="100" w:before="100"/>
      </w:pPr>
      <w:r>
        <w:t xml:space="preserve"/>
      </w:r>
    </w:p>
    <w:p>
      <w:pPr>
        <w:pStyle w:val="Heading2"/>
        <w:spacing w:after="120" w:before="200"/>
      </w:pPr>
      <w:r>
        <w:rPr>
          <w:rFonts w:ascii="Arial" w:cs="Arial" w:eastAsia="Arial" w:hAnsi="Arial"/>
          <w:b/>
          <w:bCs/>
          <w:color w:val="1A2744"/>
          <w:sz w:val="26"/>
          <w:szCs w:val="26"/>
        </w:rPr>
        <w:t xml:space="preserve">ICO Enforcement Trends 2024-2026</w:t>
      </w:r>
    </w:p>
    <w:p>
      <w:pPr>
        <w:spacing w:after="80" w:before="80"/>
      </w:pPr>
      <w:r>
        <w:rPr>
          <w:rFonts w:ascii="Arial" w:cs="Arial" w:eastAsia="Arial" w:hAnsi="Arial"/>
          <w:sz w:val="22"/>
          <w:szCs w:val="22"/>
        </w:rPr>
        <w:t xml:space="preserve">The ICO's enforcement approach has hardened. Key trends relevant to board members:</w:t>
      </w:r>
    </w:p>
    <w:p>
      <w:pPr>
        <w:pStyle w:val="ListParagraph"/>
        <w:numPr>
          <w:ilvl w:val="0"/>
          <w:numId w:val="2"/>
        </w:numPr>
        <w:spacing w:after="60" w:before="60"/>
      </w:pPr>
      <w:r>
        <w:rPr>
          <w:rFonts w:ascii="Arial" w:cs="Arial" w:eastAsia="Arial" w:hAnsi="Arial"/>
          <w:sz w:val="22"/>
          <w:szCs w:val="22"/>
        </w:rPr>
        <w:t xml:space="preserve">Increased focus on board-level accountability — the ICO expects boards to receive regular data protection reporting and to challenge management on DSAR backlogs, breach notification timelines, and vendor risk.</w:t>
      </w:r>
    </w:p>
    <w:p>
      <w:pPr>
        <w:pStyle w:val="ListParagraph"/>
        <w:numPr>
          <w:ilvl w:val="0"/>
          <w:numId w:val="2"/>
        </w:numPr>
        <w:spacing w:after="60" w:before="60"/>
      </w:pPr>
      <w:r>
        <w:rPr>
          <w:rFonts w:ascii="Arial" w:cs="Arial" w:eastAsia="Arial" w:hAnsi="Arial"/>
          <w:sz w:val="22"/>
          <w:szCs w:val="22"/>
        </w:rPr>
        <w:t xml:space="preserve">AI and automated decision-making — the ICO's statutory AI Code of Practice creates new board-level obligations around transparency, human oversight, and impact assessments for automated systems.</w:t>
      </w:r>
    </w:p>
    <w:p>
      <w:pPr>
        <w:pStyle w:val="ListParagraph"/>
        <w:numPr>
          <w:ilvl w:val="0"/>
          <w:numId w:val="2"/>
        </w:numPr>
        <w:spacing w:after="60" w:before="60"/>
      </w:pPr>
      <w:r>
        <w:rPr>
          <w:rFonts w:ascii="Arial" w:cs="Arial" w:eastAsia="Arial" w:hAnsi="Arial"/>
          <w:sz w:val="22"/>
          <w:szCs w:val="22"/>
        </w:rPr>
        <w:t xml:space="preserve">Cyber incident response — the ICO closely scrutinises whether boards were informed promptly of significant incidents and whether the 72-hour notification obligation to the ICO was met.</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What NEDs Should Do</w:t>
      </w:r>
    </w:p>
    <w:p>
      <w:pPr>
        <w:pStyle w:val="ListParagraph"/>
        <w:numPr>
          <w:ilvl w:val="0"/>
          <w:numId w:val="2"/>
        </w:numPr>
        <w:spacing w:after="60" w:before="60"/>
      </w:pPr>
      <w:r>
        <w:rPr>
          <w:rFonts w:ascii="Arial" w:cs="Arial" w:eastAsia="Arial" w:hAnsi="Arial"/>
          <w:sz w:val="22"/>
          <w:szCs w:val="22"/>
        </w:rPr>
        <w:t xml:space="preserve">Ensure the board receives a regular data protection dashboard — breach log, DSAR volumes and completion rates, DPO findings, audit results.</w:t>
      </w:r>
    </w:p>
    <w:p>
      <w:pPr>
        <w:pStyle w:val="ListParagraph"/>
        <w:numPr>
          <w:ilvl w:val="0"/>
          <w:numId w:val="2"/>
        </w:numPr>
        <w:spacing w:after="60" w:before="60"/>
      </w:pPr>
      <w:r>
        <w:rPr>
          <w:rFonts w:ascii="Arial" w:cs="Arial" w:eastAsia="Arial" w:hAnsi="Arial"/>
          <w:sz w:val="22"/>
          <w:szCs w:val="22"/>
        </w:rPr>
        <w:t xml:space="preserve">Challenge management on the firm's ICO notification record — late notifications are a key indicator of systemic failure.</w:t>
      </w:r>
    </w:p>
    <w:p>
      <w:pPr>
        <w:pStyle w:val="ListParagraph"/>
        <w:numPr>
          <w:ilvl w:val="0"/>
          <w:numId w:val="2"/>
        </w:numPr>
        <w:spacing w:after="60" w:before="60"/>
      </w:pPr>
      <w:r>
        <w:rPr>
          <w:rFonts w:ascii="Arial" w:cs="Arial" w:eastAsia="Arial" w:hAnsi="Arial"/>
          <w:sz w:val="22"/>
          <w:szCs w:val="22"/>
        </w:rPr>
        <w:t xml:space="preserve">Confirm that the firm's AI systems have completed Data Protection Impact Assessments (DPIAs) where required.</w:t>
      </w:r>
    </w:p>
    <w:p>
      <w:pPr>
        <w:pStyle w:val="ListParagraph"/>
        <w:numPr>
          <w:ilvl w:val="0"/>
          <w:numId w:val="2"/>
        </w:numPr>
        <w:spacing w:after="60" w:before="60"/>
      </w:pPr>
      <w:r>
        <w:rPr>
          <w:rFonts w:ascii="Arial" w:cs="Arial" w:eastAsia="Arial" w:hAnsi="Arial"/>
          <w:sz w:val="22"/>
          <w:szCs w:val="22"/>
        </w:rPr>
        <w:t xml:space="preserve">Ensure D&amp;O insurance covers ICO investigation costs — standard policies may exclude regulatory investigation defence costs.</w:t>
      </w:r>
    </w:p>
    <w:p>
      <w:pPr>
        <w:pStyle w:val="Heading1"/>
        <w:pageBreakBefore/>
        <w:spacing w:after="200" w:before="240"/>
      </w:pPr>
      <w:r>
        <w:rPr>
          <w:rFonts w:ascii="Arial" w:cs="Arial" w:eastAsia="Arial" w:hAnsi="Arial"/>
          <w:b/>
          <w:bCs/>
          <w:color w:val="1A2744"/>
          <w:sz w:val="32"/>
          <w:szCs w:val="32"/>
        </w:rPr>
        <w:t xml:space="preserve">5. Crime and Policing Act 2026 — New Criminal Liability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6"/>
              <w:left w:val="single" w:color="1A2744" w:sz="6"/>
              <w:bottom w:val="single" w:color="1A2744" w:sz="6"/>
              <w:right w:val="single" w:color="1A2744" w:sz="6"/>
            </w:tcBorders>
            <w:shd w:fill="F2F4F7" w:val="clear"/>
            <w:tcMar>
              <w:top w:type="dxa" w:w="160"/>
              <w:left w:type="dxa" w:w="240"/>
              <w:bottom w:type="dxa" w:w="160"/>
              <w:right w:type="dxa" w:w="240"/>
            </w:tcMar>
          </w:tcPr>
          <w:p>
            <w:pPr>
              <w:spacing w:after="80" w:before="0"/>
            </w:pPr>
            <w:r>
              <w:rPr>
                <w:rFonts w:ascii="Arial" w:cs="Arial" w:eastAsia="Arial" w:hAnsi="Arial"/>
                <w:b/>
                <w:bCs/>
                <w:color w:val="1A2744"/>
                <w:sz w:val="22"/>
                <w:szCs w:val="22"/>
              </w:rPr>
              <w:t xml:space="preserve">New Law — Effective 2026</w:t>
            </w:r>
          </w:p>
          <w:p>
            <w:pPr>
              <w:spacing w:after="0" w:before="0"/>
            </w:pPr>
            <w:r>
              <w:rPr>
                <w:rFonts w:ascii="Arial" w:cs="Arial" w:eastAsia="Arial" w:hAnsi="Arial"/>
                <w:sz w:val="22"/>
                <w:szCs w:val="22"/>
              </w:rPr>
              <w:t xml:space="preserve">The Crime and Policing Act 2026 introduces significant new corporate and individual criminal liability for UK senior managers. This is the most significant expansion of corporate criminal liability since the Bribery Act 2010.</w:t>
            </w:r>
          </w:p>
        </w:tc>
      </w:tr>
    </w:tbl>
    <w:p>
      <w:pPr>
        <w:spacing w:after="100" w:before="100"/>
      </w:pPr>
      <w:r>
        <w:t xml:space="preserve"/>
      </w:r>
    </w:p>
    <w:p>
      <w:pPr>
        <w:pStyle w:val="Heading2"/>
        <w:spacing w:after="120" w:before="200"/>
      </w:pPr>
      <w:r>
        <w:rPr>
          <w:rFonts w:ascii="Arial" w:cs="Arial" w:eastAsia="Arial" w:hAnsi="Arial"/>
          <w:b/>
          <w:bCs/>
          <w:color w:val="1A2744"/>
          <w:sz w:val="26"/>
          <w:szCs w:val="26"/>
        </w:rPr>
        <w:t xml:space="preserve">The Failure to Prevent Fraud Offence</w:t>
      </w:r>
    </w:p>
    <w:p>
      <w:pPr>
        <w:spacing w:after="80" w:before="80"/>
      </w:pPr>
      <w:r>
        <w:rPr>
          <w:rFonts w:ascii="Arial" w:cs="Arial" w:eastAsia="Arial" w:hAnsi="Arial"/>
          <w:sz w:val="22"/>
          <w:szCs w:val="22"/>
        </w:rPr>
        <w:t xml:space="preserve">The Economic Crime and Corporate Transparency Act 2023 introduced a corporate 'failure to prevent fraud' offence for large organisations. The Crime and Policing Act 2026 extends and operationalises this framework with new investigation and prosecution powers. Under this regime:</w:t>
      </w:r>
    </w:p>
    <w:p>
      <w:pPr>
        <w:pStyle w:val="ListParagraph"/>
        <w:numPr>
          <w:ilvl w:val="0"/>
          <w:numId w:val="2"/>
        </w:numPr>
        <w:spacing w:after="60" w:before="60"/>
      </w:pPr>
      <w:r>
        <w:rPr>
          <w:rFonts w:ascii="Arial" w:cs="Arial" w:eastAsia="Arial" w:hAnsi="Arial"/>
          <w:sz w:val="22"/>
          <w:szCs w:val="22"/>
        </w:rPr>
        <w:t xml:space="preserve">A large organisation is guilty of an offence if a person associated with it (employee, agent, subsidiary) commits a fraud offence intending to benefit the organisation.</w:t>
      </w:r>
    </w:p>
    <w:p>
      <w:pPr>
        <w:pStyle w:val="ListParagraph"/>
        <w:numPr>
          <w:ilvl w:val="0"/>
          <w:numId w:val="2"/>
        </w:numPr>
        <w:spacing w:after="60" w:before="60"/>
      </w:pPr>
      <w:r>
        <w:rPr>
          <w:rFonts w:ascii="Arial" w:cs="Arial" w:eastAsia="Arial" w:hAnsi="Arial"/>
          <w:sz w:val="22"/>
          <w:szCs w:val="22"/>
        </w:rPr>
        <w:t xml:space="preserve">The organisation has a defence if it can demonstrate it had reasonable prevention procedures in place.</w:t>
      </w:r>
    </w:p>
    <w:p>
      <w:pPr>
        <w:pStyle w:val="ListParagraph"/>
        <w:numPr>
          <w:ilvl w:val="0"/>
          <w:numId w:val="2"/>
        </w:numPr>
        <w:spacing w:after="60" w:before="60"/>
      </w:pPr>
      <w:r>
        <w:rPr>
          <w:rFonts w:ascii="Arial" w:cs="Arial" w:eastAsia="Arial" w:hAnsi="Arial"/>
          <w:sz w:val="22"/>
          <w:szCs w:val="22"/>
        </w:rPr>
        <w:t xml:space="preserve">Senior managers who were aware of, or turned a blind eye to, fraud risk may face personal liability.</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Individual Senior Manager Liability</w:t>
      </w:r>
    </w:p>
    <w:p>
      <w:pPr>
        <w:spacing w:after="80" w:before="80"/>
      </w:pPr>
      <w:r>
        <w:rPr>
          <w:rFonts w:ascii="Arial" w:cs="Arial" w:eastAsia="Arial" w:hAnsi="Arial"/>
          <w:sz w:val="22"/>
          <w:szCs w:val="22"/>
        </w:rPr>
        <w:t xml:space="preserve">The Crime and Policing Act 2026 strengthens the ability of prosecutors to pursue senior managers personally where:</w:t>
      </w:r>
    </w:p>
    <w:p>
      <w:pPr>
        <w:pStyle w:val="ListParagraph"/>
        <w:numPr>
          <w:ilvl w:val="0"/>
          <w:numId w:val="2"/>
        </w:numPr>
        <w:spacing w:after="60" w:before="60"/>
      </w:pPr>
      <w:r>
        <w:rPr>
          <w:rFonts w:ascii="Arial" w:cs="Arial" w:eastAsia="Arial" w:hAnsi="Arial"/>
          <w:sz w:val="22"/>
          <w:szCs w:val="22"/>
        </w:rPr>
        <w:t xml:space="preserve">They were aware of a fraud or serious financial crime being committed within their area of oversight</w:t>
      </w:r>
    </w:p>
    <w:p>
      <w:pPr>
        <w:pStyle w:val="ListParagraph"/>
        <w:numPr>
          <w:ilvl w:val="0"/>
          <w:numId w:val="2"/>
        </w:numPr>
        <w:spacing w:after="60" w:before="60"/>
      </w:pPr>
      <w:r>
        <w:rPr>
          <w:rFonts w:ascii="Arial" w:cs="Arial" w:eastAsia="Arial" w:hAnsi="Arial"/>
          <w:sz w:val="22"/>
          <w:szCs w:val="22"/>
        </w:rPr>
        <w:t xml:space="preserve">They failed to take action to stop or report it</w:t>
      </w:r>
    </w:p>
    <w:p>
      <w:pPr>
        <w:pStyle w:val="ListParagraph"/>
        <w:numPr>
          <w:ilvl w:val="0"/>
          <w:numId w:val="2"/>
        </w:numPr>
        <w:spacing w:after="60" w:before="60"/>
      </w:pPr>
      <w:r>
        <w:rPr>
          <w:rFonts w:ascii="Arial" w:cs="Arial" w:eastAsia="Arial" w:hAnsi="Arial"/>
          <w:sz w:val="22"/>
          <w:szCs w:val="22"/>
        </w:rPr>
        <w:t xml:space="preserve">They benefited personally from the fraud, or the fraud benefited the firm under their management</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Reasonable Prevention Procedures</w:t>
      </w:r>
    </w:p>
    <w:p>
      <w:pPr>
        <w:spacing w:after="80" w:before="80"/>
      </w:pPr>
      <w:r>
        <w:rPr>
          <w:rFonts w:ascii="Arial" w:cs="Arial" w:eastAsia="Arial" w:hAnsi="Arial"/>
          <w:sz w:val="22"/>
          <w:szCs w:val="22"/>
        </w:rPr>
        <w:t xml:space="preserve">For both corporate and individual liability, the key defence is demonstrating that adequate prevention procedures were in place. The Act follows the same six principles established under the Bribery Act:</w:t>
      </w:r>
    </w:p>
    <w:p>
      <w:pPr>
        <w:pStyle w:val="ListParagraph"/>
        <w:numPr>
          <w:ilvl w:val="0"/>
          <w:numId w:val="3"/>
        </w:numPr>
        <w:spacing w:after="60" w:before="60"/>
      </w:pPr>
      <w:r>
        <w:rPr>
          <w:rFonts w:ascii="Arial" w:cs="Arial" w:eastAsia="Arial" w:hAnsi="Arial"/>
          <w:sz w:val="22"/>
          <w:szCs w:val="22"/>
        </w:rPr>
        <w:t xml:space="preserve">Proportionate procedures — anti-fraud controls proportionate to the risk</w:t>
      </w:r>
    </w:p>
    <w:p>
      <w:pPr>
        <w:pStyle w:val="ListParagraph"/>
        <w:numPr>
          <w:ilvl w:val="0"/>
          <w:numId w:val="3"/>
        </w:numPr>
        <w:spacing w:after="60" w:before="60"/>
      </w:pPr>
      <w:r>
        <w:rPr>
          <w:rFonts w:ascii="Arial" w:cs="Arial" w:eastAsia="Arial" w:hAnsi="Arial"/>
          <w:sz w:val="22"/>
          <w:szCs w:val="22"/>
        </w:rPr>
        <w:t xml:space="preserve">Top-level commitment — board-level ownership of fraud prevention</w:t>
      </w:r>
    </w:p>
    <w:p>
      <w:pPr>
        <w:pStyle w:val="ListParagraph"/>
        <w:numPr>
          <w:ilvl w:val="0"/>
          <w:numId w:val="3"/>
        </w:numPr>
        <w:spacing w:after="60" w:before="60"/>
      </w:pPr>
      <w:r>
        <w:rPr>
          <w:rFonts w:ascii="Arial" w:cs="Arial" w:eastAsia="Arial" w:hAnsi="Arial"/>
          <w:sz w:val="22"/>
          <w:szCs w:val="22"/>
        </w:rPr>
        <w:t xml:space="preserve">Risk assessment — documented, regular fraud risk assessments</w:t>
      </w:r>
    </w:p>
    <w:p>
      <w:pPr>
        <w:pStyle w:val="ListParagraph"/>
        <w:numPr>
          <w:ilvl w:val="0"/>
          <w:numId w:val="3"/>
        </w:numPr>
        <w:spacing w:after="60" w:before="60"/>
      </w:pPr>
      <w:r>
        <w:rPr>
          <w:rFonts w:ascii="Arial" w:cs="Arial" w:eastAsia="Arial" w:hAnsi="Arial"/>
          <w:sz w:val="22"/>
          <w:szCs w:val="22"/>
        </w:rPr>
        <w:t xml:space="preserve">Due diligence — on associated persons and third parties</w:t>
      </w:r>
    </w:p>
    <w:p>
      <w:pPr>
        <w:pStyle w:val="ListParagraph"/>
        <w:numPr>
          <w:ilvl w:val="0"/>
          <w:numId w:val="3"/>
        </w:numPr>
        <w:spacing w:after="60" w:before="60"/>
      </w:pPr>
      <w:r>
        <w:rPr>
          <w:rFonts w:ascii="Arial" w:cs="Arial" w:eastAsia="Arial" w:hAnsi="Arial"/>
          <w:sz w:val="22"/>
          <w:szCs w:val="22"/>
        </w:rPr>
        <w:t xml:space="preserve">Communication and training — awareness across the organisation</w:t>
      </w:r>
    </w:p>
    <w:p>
      <w:pPr>
        <w:pStyle w:val="ListParagraph"/>
        <w:numPr>
          <w:ilvl w:val="0"/>
          <w:numId w:val="3"/>
        </w:numPr>
        <w:spacing w:after="60" w:before="60"/>
      </w:pPr>
      <w:r>
        <w:rPr>
          <w:rFonts w:ascii="Arial" w:cs="Arial" w:eastAsia="Arial" w:hAnsi="Arial"/>
          <w:sz w:val="22"/>
          <w:szCs w:val="22"/>
        </w:rPr>
        <w:t xml:space="preserve">Monitoring and review — regular testing and updating of procedures</w:t>
      </w:r>
    </w:p>
    <w:p>
      <w:pPr>
        <w:spacing w:after="100" w:before="100"/>
      </w:pPr>
      <w:r>
        <w:t xml:space="preserve"/>
      </w:r>
    </w:p>
    <w:p>
      <w:pPr>
        <w:spacing w:after="80" w:before="80"/>
      </w:pPr>
      <w:r>
        <w:rPr>
          <w:rFonts w:ascii="Arial" w:cs="Arial" w:eastAsia="Arial" w:hAnsi="Arial"/>
          <w:sz w:val="22"/>
          <w:szCs w:val="22"/>
        </w:rPr>
        <w:t xml:space="preserve">NEDs who can evidence that they reviewed and challenged the firm's fraud prevention framework are in a materially stronger position than those who cannot.</w:t>
      </w:r>
    </w:p>
    <w:p>
      <w:pPr>
        <w:pStyle w:val="Heading1"/>
        <w:pageBreakBefore/>
        <w:spacing w:after="200" w:before="240"/>
      </w:pPr>
      <w:r>
        <w:rPr>
          <w:rFonts w:ascii="Arial" w:cs="Arial" w:eastAsia="Arial" w:hAnsi="Arial"/>
          <w:b/>
          <w:bCs/>
          <w:color w:val="1A2744"/>
          <w:sz w:val="32"/>
          <w:szCs w:val="32"/>
        </w:rPr>
        <w:t xml:space="preserve">6. DORA — Board Accountability for Digital Operational Resilience</w:t>
      </w:r>
    </w:p>
    <w:p>
      <w:pPr>
        <w:pStyle w:val="Heading2"/>
        <w:spacing w:after="120" w:before="200"/>
      </w:pPr>
      <w:r>
        <w:rPr>
          <w:rFonts w:ascii="Arial" w:cs="Arial" w:eastAsia="Arial" w:hAnsi="Arial"/>
          <w:b/>
          <w:bCs/>
          <w:color w:val="1A2744"/>
          <w:sz w:val="26"/>
          <w:szCs w:val="26"/>
        </w:rPr>
        <w:t xml:space="preserve">Who DORA Applies To</w:t>
      </w:r>
    </w:p>
    <w:p>
      <w:pPr>
        <w:spacing w:after="80" w:before="80"/>
      </w:pPr>
      <w:r>
        <w:rPr>
          <w:rFonts w:ascii="Arial" w:cs="Arial" w:eastAsia="Arial" w:hAnsi="Arial"/>
          <w:sz w:val="22"/>
          <w:szCs w:val="22"/>
        </w:rPr>
        <w:t xml:space="preserve">DORA (the EU Digital Operational Resilience Act) has been in force since January 2025 for all EU financial entities. UK firms with EU subsidiaries, branches, or operations are directly caught. For UK-only regulated firms, the FCA and PRA's own Operational Resilience rules create equivalent board-level accountability.</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Personal Board Accountability Under DORA</w:t>
      </w:r>
    </w:p>
    <w:p>
      <w:pPr>
        <w:spacing w:after="80" w:before="80"/>
      </w:pPr>
      <w:r>
        <w:rPr>
          <w:rFonts w:ascii="Arial" w:cs="Arial" w:eastAsia="Arial" w:hAnsi="Arial"/>
          <w:sz w:val="22"/>
          <w:szCs w:val="22"/>
        </w:rPr>
        <w:t xml:space="preserve">DORA Article 5 imposes specific obligations on the management body (which includes NEDs in EU jurisdictions) to:</w:t>
      </w:r>
    </w:p>
    <w:p>
      <w:pPr>
        <w:pStyle w:val="ListParagraph"/>
        <w:numPr>
          <w:ilvl w:val="0"/>
          <w:numId w:val="2"/>
        </w:numPr>
        <w:spacing w:after="60" w:before="60"/>
      </w:pPr>
      <w:r>
        <w:rPr>
          <w:rFonts w:ascii="Arial" w:cs="Arial" w:eastAsia="Arial" w:hAnsi="Arial"/>
          <w:sz w:val="22"/>
          <w:szCs w:val="22"/>
        </w:rPr>
        <w:t xml:space="preserve">Define, approve, and oversee the firm's ICT risk management framework</w:t>
      </w:r>
    </w:p>
    <w:p>
      <w:pPr>
        <w:pStyle w:val="ListParagraph"/>
        <w:numPr>
          <w:ilvl w:val="0"/>
          <w:numId w:val="2"/>
        </w:numPr>
        <w:spacing w:after="60" w:before="60"/>
      </w:pPr>
      <w:r>
        <w:rPr>
          <w:rFonts w:ascii="Arial" w:cs="Arial" w:eastAsia="Arial" w:hAnsi="Arial"/>
          <w:sz w:val="22"/>
          <w:szCs w:val="22"/>
        </w:rPr>
        <w:t xml:space="preserve">Allocate appropriate budget and resources for ICT resilience</w:t>
      </w:r>
    </w:p>
    <w:p>
      <w:pPr>
        <w:pStyle w:val="ListParagraph"/>
        <w:numPr>
          <w:ilvl w:val="0"/>
          <w:numId w:val="2"/>
        </w:numPr>
        <w:spacing w:after="60" w:before="60"/>
      </w:pPr>
      <w:r>
        <w:rPr>
          <w:rFonts w:ascii="Arial" w:cs="Arial" w:eastAsia="Arial" w:hAnsi="Arial"/>
          <w:sz w:val="22"/>
          <w:szCs w:val="22"/>
        </w:rPr>
        <w:t xml:space="preserve">Receive regular ICT risk reporting and act on it</w:t>
      </w:r>
    </w:p>
    <w:p>
      <w:pPr>
        <w:pStyle w:val="ListParagraph"/>
        <w:numPr>
          <w:ilvl w:val="0"/>
          <w:numId w:val="2"/>
        </w:numPr>
        <w:spacing w:after="60" w:before="60"/>
      </w:pPr>
      <w:r>
        <w:rPr>
          <w:rFonts w:ascii="Arial" w:cs="Arial" w:eastAsia="Arial" w:hAnsi="Arial"/>
          <w:sz w:val="22"/>
          <w:szCs w:val="22"/>
        </w:rPr>
        <w:t xml:space="preserve">Approve major ICT outsourcing arrangements and maintain oversight of critical third-party providers</w:t>
      </w:r>
    </w:p>
    <w:p>
      <w:pPr>
        <w:pStyle w:val="ListParagraph"/>
        <w:numPr>
          <w:ilvl w:val="0"/>
          <w:numId w:val="2"/>
        </w:numPr>
        <w:spacing w:after="60" w:before="60"/>
      </w:pPr>
      <w:r>
        <w:rPr>
          <w:rFonts w:ascii="Arial" w:cs="Arial" w:eastAsia="Arial" w:hAnsi="Arial"/>
          <w:sz w:val="22"/>
          <w:szCs w:val="22"/>
        </w:rPr>
        <w:t xml:space="preserve">Ensure the firm can recover from major ICT incidents within defined tolerances</w:t>
      </w:r>
    </w:p>
    <w:p>
      <w:pPr>
        <w:spacing w:after="100" w:before="10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6"/>
              <w:left w:val="single" w:color="1A2744" w:sz="6"/>
              <w:bottom w:val="single" w:color="1A2744" w:sz="6"/>
              <w:right w:val="single" w:color="1A2744" w:sz="6"/>
            </w:tcBorders>
            <w:shd w:fill="F2F4F7" w:val="clear"/>
            <w:tcMar>
              <w:top w:type="dxa" w:w="160"/>
              <w:left w:type="dxa" w:w="240"/>
              <w:bottom w:type="dxa" w:w="160"/>
              <w:right w:type="dxa" w:w="240"/>
            </w:tcMar>
          </w:tcPr>
          <w:p>
            <w:pPr>
              <w:spacing w:after="80" w:before="0"/>
            </w:pPr>
            <w:r>
              <w:rPr>
                <w:rFonts w:ascii="Arial" w:cs="Arial" w:eastAsia="Arial" w:hAnsi="Arial"/>
                <w:b/>
                <w:bCs/>
                <w:color w:val="1A2744"/>
                <w:sz w:val="22"/>
                <w:szCs w:val="22"/>
              </w:rPr>
              <w:t xml:space="preserve">Board Attestation</w:t>
            </w:r>
          </w:p>
          <w:p>
            <w:pPr>
              <w:spacing w:after="0" w:before="0"/>
            </w:pPr>
            <w:r>
              <w:rPr>
                <w:rFonts w:ascii="Arial" w:cs="Arial" w:eastAsia="Arial" w:hAnsi="Arial"/>
                <w:sz w:val="22"/>
                <w:szCs w:val="22"/>
              </w:rPr>
              <w:t xml:space="preserve">Under DORA, management body members are expected to maintain sufficient knowledge and skills to understand and assess ICT risk. Regulatory examination of boards increasingly tests whether NEDs can speak to the firm's ICT risk posture, not just confirm they have received a report about it.</w:t>
            </w:r>
          </w:p>
        </w:tc>
      </w:tr>
    </w:tbl>
    <w:p>
      <w:pPr>
        <w:spacing w:after="100" w:before="100"/>
      </w:pPr>
      <w:r>
        <w:t xml:space="preserve"/>
      </w:r>
    </w:p>
    <w:p>
      <w:pPr>
        <w:pStyle w:val="Heading2"/>
        <w:spacing w:after="120" w:before="200"/>
      </w:pPr>
      <w:r>
        <w:rPr>
          <w:rFonts w:ascii="Arial" w:cs="Arial" w:eastAsia="Arial" w:hAnsi="Arial"/>
          <w:b/>
          <w:bCs/>
          <w:color w:val="1A2744"/>
          <w:sz w:val="26"/>
          <w:szCs w:val="26"/>
        </w:rPr>
        <w:t xml:space="preserve">Enforcement Exposure</w:t>
      </w:r>
    </w:p>
    <w:p>
      <w:pPr>
        <w:spacing w:after="80" w:before="80"/>
      </w:pPr>
      <w:r>
        <w:rPr>
          <w:rFonts w:ascii="Arial" w:cs="Arial" w:eastAsia="Arial" w:hAnsi="Arial"/>
          <w:sz w:val="22"/>
          <w:szCs w:val="22"/>
        </w:rPr>
        <w:t xml:space="preserve">National Competent Authorities can impose fines on firms for DORA non-compliance of up to 2% of annual worldwide turnover. More relevantly for NEDs, NCAs have powers to name individual management body members in enforcement actions and to require specific remediation at board level.</w:t>
      </w:r>
    </w:p>
    <w:p>
      <w:pPr>
        <w:pStyle w:val="Heading1"/>
        <w:pageBreakBefore/>
        <w:spacing w:after="200" w:before="240"/>
      </w:pPr>
      <w:r>
        <w:rPr>
          <w:rFonts w:ascii="Arial" w:cs="Arial" w:eastAsia="Arial" w:hAnsi="Arial"/>
          <w:b/>
          <w:bCs/>
          <w:color w:val="1A2744"/>
          <w:sz w:val="32"/>
          <w:szCs w:val="32"/>
        </w:rPr>
        <w:t xml:space="preserve">7. Practical Steps to Protect Yourself</w:t>
      </w:r>
    </w:p>
    <w:p>
      <w:pPr>
        <w:pStyle w:val="Heading2"/>
        <w:spacing w:after="120" w:before="200"/>
      </w:pPr>
      <w:r>
        <w:rPr>
          <w:rFonts w:ascii="Arial" w:cs="Arial" w:eastAsia="Arial" w:hAnsi="Arial"/>
          <w:b/>
          <w:bCs/>
          <w:color w:val="1A2744"/>
          <w:sz w:val="26"/>
          <w:szCs w:val="26"/>
        </w:rPr>
        <w:t xml:space="preserve">Evidence Your Governance</w:t>
      </w:r>
    </w:p>
    <w:p>
      <w:pPr>
        <w:spacing w:after="80" w:before="80"/>
      </w:pPr>
      <w:r>
        <w:rPr>
          <w:rFonts w:ascii="Arial" w:cs="Arial" w:eastAsia="Arial" w:hAnsi="Arial"/>
          <w:sz w:val="22"/>
          <w:szCs w:val="22"/>
        </w:rPr>
        <w:t xml:space="preserve">The single most important thing a NED can do to protect their personal position is to create contemporaneous evidence of active, engaged governance. This means:</w:t>
      </w:r>
    </w:p>
    <w:p>
      <w:pPr>
        <w:pStyle w:val="ListParagraph"/>
        <w:numPr>
          <w:ilvl w:val="0"/>
          <w:numId w:val="2"/>
        </w:numPr>
        <w:spacing w:after="60" w:before="60"/>
      </w:pPr>
      <w:r>
        <w:rPr>
          <w:rFonts w:ascii="Arial" w:cs="Arial" w:eastAsia="Arial" w:hAnsi="Arial"/>
          <w:sz w:val="22"/>
          <w:szCs w:val="22"/>
        </w:rPr>
        <w:t xml:space="preserve">Ensuring board minutes accurately capture your questions, challenges, and votes — and reviewing drafts to confirm they do</w:t>
      </w:r>
    </w:p>
    <w:p>
      <w:pPr>
        <w:pStyle w:val="ListParagraph"/>
        <w:numPr>
          <w:ilvl w:val="0"/>
          <w:numId w:val="2"/>
        </w:numPr>
        <w:spacing w:after="60" w:before="60"/>
      </w:pPr>
      <w:r>
        <w:rPr>
          <w:rFonts w:ascii="Arial" w:cs="Arial" w:eastAsia="Arial" w:hAnsi="Arial"/>
          <w:sz w:val="22"/>
          <w:szCs w:val="22"/>
        </w:rPr>
        <w:t xml:space="preserve">Following up in writing (email to Chair or Company Secretary) when you have raised a concern and it has not been addressed</w:t>
      </w:r>
    </w:p>
    <w:p>
      <w:pPr>
        <w:pStyle w:val="ListParagraph"/>
        <w:numPr>
          <w:ilvl w:val="0"/>
          <w:numId w:val="2"/>
        </w:numPr>
        <w:spacing w:after="60" w:before="60"/>
      </w:pPr>
      <w:r>
        <w:rPr>
          <w:rFonts w:ascii="Arial" w:cs="Arial" w:eastAsia="Arial" w:hAnsi="Arial"/>
          <w:sz w:val="22"/>
          <w:szCs w:val="22"/>
        </w:rPr>
        <w:t xml:space="preserve">Keeping a personal log of significant governance concerns and how they were resolved</w:t>
      </w:r>
    </w:p>
    <w:p>
      <w:pPr>
        <w:pStyle w:val="ListParagraph"/>
        <w:numPr>
          <w:ilvl w:val="0"/>
          <w:numId w:val="2"/>
        </w:numPr>
        <w:spacing w:after="60" w:before="60"/>
      </w:pPr>
      <w:r>
        <w:rPr>
          <w:rFonts w:ascii="Arial" w:cs="Arial" w:eastAsia="Arial" w:hAnsi="Arial"/>
          <w:sz w:val="22"/>
          <w:szCs w:val="22"/>
        </w:rPr>
        <w:t xml:space="preserve">Requesting information proactively rather than only responding to management papers</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Know Your Statement of Responsibilities</w:t>
      </w:r>
    </w:p>
    <w:p>
      <w:pPr>
        <w:spacing w:after="80" w:before="80"/>
      </w:pPr>
      <w:r>
        <w:rPr>
          <w:rFonts w:ascii="Arial" w:cs="Arial" w:eastAsia="Arial" w:hAnsi="Arial"/>
          <w:sz w:val="22"/>
          <w:szCs w:val="22"/>
        </w:rPr>
        <w:t xml:space="preserve">If you hold an SMF, your Statement of Responsibilities (SoR) defines the scope of your personal accountability. You should:</w:t>
      </w:r>
    </w:p>
    <w:p>
      <w:pPr>
        <w:pStyle w:val="ListParagraph"/>
        <w:numPr>
          <w:ilvl w:val="0"/>
          <w:numId w:val="2"/>
        </w:numPr>
        <w:spacing w:after="60" w:before="60"/>
      </w:pPr>
      <w:r>
        <w:rPr>
          <w:rFonts w:ascii="Arial" w:cs="Arial" w:eastAsia="Arial" w:hAnsi="Arial"/>
          <w:sz w:val="22"/>
          <w:szCs w:val="22"/>
        </w:rPr>
        <w:t xml:space="preserve">Read and understand your SoR — it is a legal document, not an administrative form</w:t>
      </w:r>
    </w:p>
    <w:p>
      <w:pPr>
        <w:pStyle w:val="ListParagraph"/>
        <w:numPr>
          <w:ilvl w:val="0"/>
          <w:numId w:val="2"/>
        </w:numPr>
        <w:spacing w:after="60" w:before="60"/>
      </w:pPr>
      <w:r>
        <w:rPr>
          <w:rFonts w:ascii="Arial" w:cs="Arial" w:eastAsia="Arial" w:hAnsi="Arial"/>
          <w:sz w:val="22"/>
          <w:szCs w:val="22"/>
        </w:rPr>
        <w:t xml:space="preserve">Ensure it accurately reflects your actual role and does not include responsibilities you cannot practically discharge</w:t>
      </w:r>
    </w:p>
    <w:p>
      <w:pPr>
        <w:pStyle w:val="ListParagraph"/>
        <w:numPr>
          <w:ilvl w:val="0"/>
          <w:numId w:val="2"/>
        </w:numPr>
        <w:spacing w:after="60" w:before="60"/>
      </w:pPr>
      <w:r>
        <w:rPr>
          <w:rFonts w:ascii="Arial" w:cs="Arial" w:eastAsia="Arial" w:hAnsi="Arial"/>
          <w:sz w:val="22"/>
          <w:szCs w:val="22"/>
        </w:rPr>
        <w:t xml:space="preserve">Request updates if your role changes</w:t>
      </w:r>
    </w:p>
    <w:p>
      <w:pPr>
        <w:pStyle w:val="ListParagraph"/>
        <w:numPr>
          <w:ilvl w:val="0"/>
          <w:numId w:val="2"/>
        </w:numPr>
        <w:spacing w:after="60" w:before="60"/>
      </w:pPr>
      <w:r>
        <w:rPr>
          <w:rFonts w:ascii="Arial" w:cs="Arial" w:eastAsia="Arial" w:hAnsi="Arial"/>
          <w:sz w:val="22"/>
          <w:szCs w:val="22"/>
        </w:rPr>
        <w:t xml:space="preserve">Confirm that the areas within your SoR are receiving adequate board attention</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Check Your D&amp;O Insurance</w:t>
      </w:r>
    </w:p>
    <w:p>
      <w:pPr>
        <w:spacing w:after="80" w:before="80"/>
      </w:pPr>
      <w:r>
        <w:rPr>
          <w:rFonts w:ascii="Arial" w:cs="Arial" w:eastAsia="Arial" w:hAnsi="Arial"/>
          <w:sz w:val="22"/>
          <w:szCs w:val="22"/>
        </w:rPr>
        <w:t xml:space="preserve">Directors' and Officers' insurance is your primary financial protection. Check:</w:t>
      </w:r>
    </w:p>
    <w:p>
      <w:pPr>
        <w:pStyle w:val="ListParagraph"/>
        <w:numPr>
          <w:ilvl w:val="0"/>
          <w:numId w:val="2"/>
        </w:numPr>
        <w:spacing w:after="60" w:before="60"/>
      </w:pPr>
      <w:r>
        <w:rPr>
          <w:rFonts w:ascii="Arial" w:cs="Arial" w:eastAsia="Arial" w:hAnsi="Arial"/>
          <w:sz w:val="22"/>
          <w:szCs w:val="22"/>
        </w:rPr>
        <w:t xml:space="preserve">Coverage extends to regulatory investigation defence costs — not just final penalties</w:t>
      </w:r>
    </w:p>
    <w:p>
      <w:pPr>
        <w:pStyle w:val="ListParagraph"/>
        <w:numPr>
          <w:ilvl w:val="0"/>
          <w:numId w:val="2"/>
        </w:numPr>
        <w:spacing w:after="60" w:before="60"/>
      </w:pPr>
      <w:r>
        <w:rPr>
          <w:rFonts w:ascii="Arial" w:cs="Arial" w:eastAsia="Arial" w:hAnsi="Arial"/>
          <w:sz w:val="22"/>
          <w:szCs w:val="22"/>
        </w:rPr>
        <w:t xml:space="preserve">Run-off cover is in place for at least 6 years after you leave the board</w:t>
      </w:r>
    </w:p>
    <w:p>
      <w:pPr>
        <w:pStyle w:val="ListParagraph"/>
        <w:numPr>
          <w:ilvl w:val="0"/>
          <w:numId w:val="2"/>
        </w:numPr>
        <w:spacing w:after="60" w:before="60"/>
      </w:pPr>
      <w:r>
        <w:rPr>
          <w:rFonts w:ascii="Arial" w:cs="Arial" w:eastAsia="Arial" w:hAnsi="Arial"/>
          <w:sz w:val="22"/>
          <w:szCs w:val="22"/>
        </w:rPr>
        <w:t xml:space="preserve">Coverage is not voided by the firm's own wrongdoing in circumstances where you were not involved</w:t>
      </w:r>
    </w:p>
    <w:p>
      <w:pPr>
        <w:pStyle w:val="ListParagraph"/>
        <w:numPr>
          <w:ilvl w:val="0"/>
          <w:numId w:val="2"/>
        </w:numPr>
        <w:spacing w:after="60" w:before="60"/>
      </w:pPr>
      <w:r>
        <w:rPr>
          <w:rFonts w:ascii="Arial" w:cs="Arial" w:eastAsia="Arial" w:hAnsi="Arial"/>
          <w:sz w:val="22"/>
          <w:szCs w:val="22"/>
        </w:rPr>
        <w:t xml:space="preserve">Side A coverage (individual directors) is separate from Side B (company reimbursement) so that corporate insolvency does not leave you unprotected</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Personal Liability Checklist for NEDs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D0D5DD" w:sz="1"/>
              <w:left w:val="single" w:color="1A2744" w:sz="4"/>
              <w:bottom w:val="single" w:color="D0D5DD" w:sz="1"/>
              <w:right w:val="single" w:color="D0D5DD" w:sz="1"/>
            </w:tcBorders>
            <w:shd w:fill="FFFFFF" w:val="clear"/>
            <w:tcMar>
              <w:top w:type="dxa" w:w="80"/>
              <w:left w:type="dxa" w:w="200"/>
              <w:bottom w:type="dxa" w:w="80"/>
              <w:right w:type="dxa" w:w="120"/>
            </w:tcMar>
          </w:tcPr>
          <w:p>
            <w:r>
              <w:rPr>
                <w:rFonts w:ascii="Arial" w:cs="Arial" w:eastAsia="Arial" w:hAnsi="Arial"/>
                <w:sz w:val="21"/>
                <w:szCs w:val="21"/>
              </w:rPr>
              <w:t xml:space="preserve">☐  Do I understand my Statement of Responsibilities and can I articulate what it covers?</w:t>
            </w:r>
          </w:p>
        </w:tc>
      </w:tr>
      <w:tr>
        <w:tc>
          <w:tcPr>
            <w:tcW w:type="dxa" w:w="9638"/>
            <w:tcBorders>
              <w:top w:val="single" w:color="D0D5DD" w:sz="1"/>
              <w:left w:val="single" w:color="1A2744" w:sz="4"/>
              <w:bottom w:val="single" w:color="D0D5DD" w:sz="1"/>
              <w:right w:val="single" w:color="D0D5DD" w:sz="1"/>
            </w:tcBorders>
            <w:shd w:fill="F2F4F7" w:val="clear"/>
            <w:tcMar>
              <w:top w:type="dxa" w:w="80"/>
              <w:left w:type="dxa" w:w="200"/>
              <w:bottom w:type="dxa" w:w="80"/>
              <w:right w:type="dxa" w:w="120"/>
            </w:tcMar>
          </w:tcPr>
          <w:p>
            <w:r>
              <w:rPr>
                <w:rFonts w:ascii="Arial" w:cs="Arial" w:eastAsia="Arial" w:hAnsi="Arial"/>
                <w:sz w:val="21"/>
                <w:szCs w:val="21"/>
              </w:rPr>
              <w:t xml:space="preserve">☐  Have I received adequate training on my regulatory obligations as a Senior Manager in the last 12 months?</w:t>
            </w:r>
          </w:p>
        </w:tc>
      </w:tr>
      <w:tr>
        <w:tc>
          <w:tcPr>
            <w:tcW w:type="dxa" w:w="9638"/>
            <w:tcBorders>
              <w:top w:val="single" w:color="D0D5DD" w:sz="1"/>
              <w:left w:val="single" w:color="1A2744" w:sz="4"/>
              <w:bottom w:val="single" w:color="D0D5DD" w:sz="1"/>
              <w:right w:val="single" w:color="D0D5DD" w:sz="1"/>
            </w:tcBorders>
            <w:shd w:fill="FFFFFF" w:val="clear"/>
            <w:tcMar>
              <w:top w:type="dxa" w:w="80"/>
              <w:left w:type="dxa" w:w="200"/>
              <w:bottom w:type="dxa" w:w="80"/>
              <w:right w:type="dxa" w:w="120"/>
            </w:tcMar>
          </w:tcPr>
          <w:p>
            <w:r>
              <w:rPr>
                <w:rFonts w:ascii="Arial" w:cs="Arial" w:eastAsia="Arial" w:hAnsi="Arial"/>
                <w:sz w:val="21"/>
                <w:szCs w:val="21"/>
              </w:rPr>
              <w:t xml:space="preserve">☐  Do I have evidence (in board minutes or writing) of the governance challenges I have raised?</w:t>
            </w:r>
          </w:p>
        </w:tc>
      </w:tr>
      <w:tr>
        <w:tc>
          <w:tcPr>
            <w:tcW w:type="dxa" w:w="9638"/>
            <w:tcBorders>
              <w:top w:val="single" w:color="D0D5DD" w:sz="1"/>
              <w:left w:val="single" w:color="1A2744" w:sz="4"/>
              <w:bottom w:val="single" w:color="D0D5DD" w:sz="1"/>
              <w:right w:val="single" w:color="D0D5DD" w:sz="1"/>
            </w:tcBorders>
            <w:shd w:fill="F2F4F7" w:val="clear"/>
            <w:tcMar>
              <w:top w:type="dxa" w:w="80"/>
              <w:left w:type="dxa" w:w="200"/>
              <w:bottom w:type="dxa" w:w="80"/>
              <w:right w:type="dxa" w:w="120"/>
            </w:tcMar>
          </w:tcPr>
          <w:p>
            <w:r>
              <w:rPr>
                <w:rFonts w:ascii="Arial" w:cs="Arial" w:eastAsia="Arial" w:hAnsi="Arial"/>
                <w:sz w:val="21"/>
                <w:szCs w:val="21"/>
              </w:rPr>
              <w:t xml:space="preserve">☐  Is my D&amp;O insurance current, and does it cover regulatory investigation defence costs?</w:t>
            </w:r>
          </w:p>
        </w:tc>
      </w:tr>
      <w:tr>
        <w:tc>
          <w:tcPr>
            <w:tcW w:type="dxa" w:w="9638"/>
            <w:tcBorders>
              <w:top w:val="single" w:color="D0D5DD" w:sz="1"/>
              <w:left w:val="single" w:color="1A2744" w:sz="4"/>
              <w:bottom w:val="single" w:color="D0D5DD" w:sz="1"/>
              <w:right w:val="single" w:color="D0D5DD" w:sz="1"/>
            </w:tcBorders>
            <w:shd w:fill="FFFFFF" w:val="clear"/>
            <w:tcMar>
              <w:top w:type="dxa" w:w="80"/>
              <w:left w:type="dxa" w:w="200"/>
              <w:bottom w:type="dxa" w:w="80"/>
              <w:right w:type="dxa" w:w="120"/>
            </w:tcMar>
          </w:tcPr>
          <w:p>
            <w:r>
              <w:rPr>
                <w:rFonts w:ascii="Arial" w:cs="Arial" w:eastAsia="Arial" w:hAnsi="Arial"/>
                <w:sz w:val="21"/>
                <w:szCs w:val="21"/>
              </w:rPr>
              <w:t xml:space="preserve">☐  Am I satisfied that I receive adequate information to discharge my SoR obligations?</w:t>
            </w:r>
          </w:p>
        </w:tc>
      </w:tr>
      <w:tr>
        <w:tc>
          <w:tcPr>
            <w:tcW w:type="dxa" w:w="9638"/>
            <w:tcBorders>
              <w:top w:val="single" w:color="D0D5DD" w:sz="1"/>
              <w:left w:val="single" w:color="1A2744" w:sz="4"/>
              <w:bottom w:val="single" w:color="D0D5DD" w:sz="1"/>
              <w:right w:val="single" w:color="D0D5DD" w:sz="1"/>
            </w:tcBorders>
            <w:shd w:fill="F2F4F7" w:val="clear"/>
            <w:tcMar>
              <w:top w:type="dxa" w:w="80"/>
              <w:left w:type="dxa" w:w="200"/>
              <w:bottom w:type="dxa" w:w="80"/>
              <w:right w:type="dxa" w:w="120"/>
            </w:tcMar>
          </w:tcPr>
          <w:p>
            <w:r>
              <w:rPr>
                <w:rFonts w:ascii="Arial" w:cs="Arial" w:eastAsia="Arial" w:hAnsi="Arial"/>
                <w:sz w:val="21"/>
                <w:szCs w:val="21"/>
              </w:rPr>
              <w:t xml:space="preserve">☐  Do I know who to contact if I discover a serious governance concern outside a board meeting?</w:t>
            </w:r>
          </w:p>
        </w:tc>
      </w:tr>
      <w:tr>
        <w:tc>
          <w:tcPr>
            <w:tcW w:type="dxa" w:w="9638"/>
            <w:tcBorders>
              <w:top w:val="single" w:color="D0D5DD" w:sz="1"/>
              <w:left w:val="single" w:color="1A2744" w:sz="4"/>
              <w:bottom w:val="single" w:color="D0D5DD" w:sz="1"/>
              <w:right w:val="single" w:color="D0D5DD" w:sz="1"/>
            </w:tcBorders>
            <w:shd w:fill="FFFFFF" w:val="clear"/>
            <w:tcMar>
              <w:top w:type="dxa" w:w="80"/>
              <w:left w:type="dxa" w:w="200"/>
              <w:bottom w:type="dxa" w:w="80"/>
              <w:right w:type="dxa" w:w="120"/>
            </w:tcMar>
          </w:tcPr>
          <w:p>
            <w:r>
              <w:rPr>
                <w:rFonts w:ascii="Arial" w:cs="Arial" w:eastAsia="Arial" w:hAnsi="Arial"/>
                <w:sz w:val="21"/>
                <w:szCs w:val="21"/>
              </w:rPr>
              <w:t xml:space="preserve">☐  Have I reviewed and understand the firm's fraud prevention procedures?</w:t>
            </w:r>
          </w:p>
        </w:tc>
      </w:tr>
      <w:tr>
        <w:tc>
          <w:tcPr>
            <w:tcW w:type="dxa" w:w="9638"/>
            <w:tcBorders>
              <w:top w:val="single" w:color="D0D5DD" w:sz="1"/>
              <w:left w:val="single" w:color="1A2744" w:sz="4"/>
              <w:bottom w:val="single" w:color="D0D5DD" w:sz="1"/>
              <w:right w:val="single" w:color="D0D5DD" w:sz="1"/>
            </w:tcBorders>
            <w:shd w:fill="F2F4F7" w:val="clear"/>
            <w:tcMar>
              <w:top w:type="dxa" w:w="80"/>
              <w:left w:type="dxa" w:w="200"/>
              <w:bottom w:type="dxa" w:w="80"/>
              <w:right w:type="dxa" w:w="120"/>
            </w:tcMar>
          </w:tcPr>
          <w:p>
            <w:r>
              <w:rPr>
                <w:rFonts w:ascii="Arial" w:cs="Arial" w:eastAsia="Arial" w:hAnsi="Arial"/>
                <w:sz w:val="21"/>
                <w:szCs w:val="21"/>
              </w:rPr>
              <w:t xml:space="preserve">☐  Do I receive regular data protection reporting and am I satisfied with the firm's ICO compliance?</w:t>
            </w:r>
          </w:p>
        </w:tc>
      </w:tr>
      <w:tr>
        <w:tc>
          <w:tcPr>
            <w:tcW w:type="dxa" w:w="9638"/>
            <w:tcBorders>
              <w:top w:val="single" w:color="D0D5DD" w:sz="1"/>
              <w:left w:val="single" w:color="1A2744" w:sz="4"/>
              <w:bottom w:val="single" w:color="D0D5DD" w:sz="1"/>
              <w:right w:val="single" w:color="D0D5DD" w:sz="1"/>
            </w:tcBorders>
            <w:shd w:fill="FFFFFF" w:val="clear"/>
            <w:tcMar>
              <w:top w:type="dxa" w:w="80"/>
              <w:left w:type="dxa" w:w="200"/>
              <w:bottom w:type="dxa" w:w="80"/>
              <w:right w:type="dxa" w:w="120"/>
            </w:tcMar>
          </w:tcPr>
          <w:p>
            <w:r>
              <w:rPr>
                <w:rFonts w:ascii="Arial" w:cs="Arial" w:eastAsia="Arial" w:hAnsi="Arial"/>
                <w:sz w:val="21"/>
                <w:szCs w:val="21"/>
              </w:rPr>
              <w:t xml:space="preserve">☐  Am I satisfied that the firm's operational resilience and ICT risk frameworks meet DORA / FCA standards?</w:t>
            </w:r>
          </w:p>
        </w:tc>
      </w:tr>
      <w:tr>
        <w:tc>
          <w:tcPr>
            <w:tcW w:type="dxa" w:w="9638"/>
            <w:tcBorders>
              <w:top w:val="single" w:color="D0D5DD" w:sz="1"/>
              <w:left w:val="single" w:color="1A2744" w:sz="4"/>
              <w:bottom w:val="single" w:color="D0D5DD" w:sz="1"/>
              <w:right w:val="single" w:color="D0D5DD" w:sz="1"/>
            </w:tcBorders>
            <w:shd w:fill="F2F4F7" w:val="clear"/>
            <w:tcMar>
              <w:top w:type="dxa" w:w="80"/>
              <w:left w:type="dxa" w:w="200"/>
              <w:bottom w:type="dxa" w:w="80"/>
              <w:right w:type="dxa" w:w="120"/>
            </w:tcMar>
          </w:tcPr>
          <w:p>
            <w:r>
              <w:rPr>
                <w:rFonts w:ascii="Arial" w:cs="Arial" w:eastAsia="Arial" w:hAnsi="Arial"/>
                <w:sz w:val="21"/>
                <w:szCs w:val="21"/>
              </w:rPr>
              <w:t xml:space="preserve">☐  If I resigned today, would I be comfortable that I had discharged my duties appropriately?</w:t>
            </w:r>
          </w:p>
        </w:tc>
      </w:tr>
    </w:tbl>
    <w:p>
      <w:pPr>
        <w:pStyle w:val="Heading1"/>
        <w:pageBreakBefore/>
        <w:spacing w:after="200" w:before="240"/>
      </w:pPr>
      <w:r>
        <w:rPr>
          <w:rFonts w:ascii="Arial" w:cs="Arial" w:eastAsia="Arial" w:hAnsi="Arial"/>
          <w:b/>
          <w:bCs/>
          <w:color w:val="1A2744"/>
          <w:sz w:val="32"/>
          <w:szCs w:val="32"/>
        </w:rPr>
        <w:t xml:space="preserve">8. Questions for the Board and Management</w:t>
      </w:r>
    </w:p>
    <w:p>
      <w:pPr>
        <w:spacing w:after="80" w:before="80"/>
      </w:pPr>
      <w:r>
        <w:rPr>
          <w:rFonts w:ascii="Arial" w:cs="Arial" w:eastAsia="Arial" w:hAnsi="Arial"/>
          <w:sz w:val="22"/>
          <w:szCs w:val="22"/>
        </w:rPr>
        <w:t xml:space="preserve">The following questions should be raised by NEDs at board or committee level to test the firm's personal liability risk management framework.</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On SMCR and Individual Accountability</w:t>
      </w:r>
    </w:p>
    <w:p>
      <w:pPr>
        <w:pStyle w:val="ListParagraph"/>
        <w:numPr>
          <w:ilvl w:val="0"/>
          <w:numId w:val="3"/>
        </w:numPr>
        <w:spacing w:after="60" w:before="60"/>
      </w:pPr>
      <w:r>
        <w:rPr>
          <w:rFonts w:ascii="Arial" w:cs="Arial" w:eastAsia="Arial" w:hAnsi="Arial"/>
          <w:sz w:val="22"/>
          <w:szCs w:val="22"/>
        </w:rPr>
        <w:t xml:space="preserve">Are all SMF holders' Statements of Responsibilities current and reviewed annually?</w:t>
      </w:r>
    </w:p>
    <w:p>
      <w:pPr>
        <w:pStyle w:val="ListParagraph"/>
        <w:numPr>
          <w:ilvl w:val="0"/>
          <w:numId w:val="3"/>
        </w:numPr>
        <w:spacing w:after="60" w:before="60"/>
      </w:pPr>
      <w:r>
        <w:rPr>
          <w:rFonts w:ascii="Arial" w:cs="Arial" w:eastAsia="Arial" w:hAnsi="Arial"/>
          <w:sz w:val="22"/>
          <w:szCs w:val="22"/>
        </w:rPr>
        <w:t xml:space="preserve">Have all SMF holders completed the required annual training on their regulatory obligations?</w:t>
      </w:r>
    </w:p>
    <w:p>
      <w:pPr>
        <w:pStyle w:val="ListParagraph"/>
        <w:numPr>
          <w:ilvl w:val="0"/>
          <w:numId w:val="3"/>
        </w:numPr>
        <w:spacing w:after="60" w:before="60"/>
      </w:pPr>
      <w:r>
        <w:rPr>
          <w:rFonts w:ascii="Arial" w:cs="Arial" w:eastAsia="Arial" w:hAnsi="Arial"/>
          <w:sz w:val="22"/>
          <w:szCs w:val="22"/>
        </w:rPr>
        <w:t xml:space="preserve">How is the firm monitoring 'reasonable steps' documentation for each named Senior Manager?</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On Companies Act and Governance</w:t>
      </w:r>
    </w:p>
    <w:p>
      <w:pPr>
        <w:pStyle w:val="ListParagraph"/>
        <w:numPr>
          <w:ilvl w:val="0"/>
          <w:numId w:val="3"/>
        </w:numPr>
        <w:spacing w:after="60" w:before="60"/>
      </w:pPr>
      <w:r>
        <w:rPr>
          <w:rFonts w:ascii="Arial" w:cs="Arial" w:eastAsia="Arial" w:hAnsi="Arial"/>
          <w:sz w:val="22"/>
          <w:szCs w:val="22"/>
        </w:rPr>
        <w:t xml:space="preserve">When did we last review director duties training for the full board?</w:t>
      </w:r>
    </w:p>
    <w:p>
      <w:pPr>
        <w:pStyle w:val="ListParagraph"/>
        <w:numPr>
          <w:ilvl w:val="0"/>
          <w:numId w:val="3"/>
        </w:numPr>
        <w:spacing w:after="60" w:before="60"/>
      </w:pPr>
      <w:r>
        <w:rPr>
          <w:rFonts w:ascii="Arial" w:cs="Arial" w:eastAsia="Arial" w:hAnsi="Arial"/>
          <w:sz w:val="22"/>
          <w:szCs w:val="22"/>
        </w:rPr>
        <w:t xml:space="preserve">Are all conflicts of interest for each director properly declared and managed?</w:t>
      </w:r>
    </w:p>
    <w:p>
      <w:pPr>
        <w:pStyle w:val="ListParagraph"/>
        <w:numPr>
          <w:ilvl w:val="0"/>
          <w:numId w:val="3"/>
        </w:numPr>
        <w:spacing w:after="60" w:before="60"/>
      </w:pPr>
      <w:r>
        <w:rPr>
          <w:rFonts w:ascii="Arial" w:cs="Arial" w:eastAsia="Arial" w:hAnsi="Arial"/>
          <w:sz w:val="22"/>
          <w:szCs w:val="22"/>
        </w:rPr>
        <w:t xml:space="preserve">What would trigger a board discussion about wrongful or fraudulent trading — and who would raise it?</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On ICO and Data</w:t>
      </w:r>
    </w:p>
    <w:p>
      <w:pPr>
        <w:pStyle w:val="ListParagraph"/>
        <w:numPr>
          <w:ilvl w:val="0"/>
          <w:numId w:val="3"/>
        </w:numPr>
        <w:spacing w:after="60" w:before="60"/>
      </w:pPr>
      <w:r>
        <w:rPr>
          <w:rFonts w:ascii="Arial" w:cs="Arial" w:eastAsia="Arial" w:hAnsi="Arial"/>
          <w:sz w:val="22"/>
          <w:szCs w:val="22"/>
        </w:rPr>
        <w:t xml:space="preserve">How many personal data breaches did we report to the ICO in the last 12 months, and were all notifications made within 72 hours?</w:t>
      </w:r>
    </w:p>
    <w:p>
      <w:pPr>
        <w:pStyle w:val="ListParagraph"/>
        <w:numPr>
          <w:ilvl w:val="0"/>
          <w:numId w:val="3"/>
        </w:numPr>
        <w:spacing w:after="60" w:before="60"/>
      </w:pPr>
      <w:r>
        <w:rPr>
          <w:rFonts w:ascii="Arial" w:cs="Arial" w:eastAsia="Arial" w:hAnsi="Arial"/>
          <w:sz w:val="22"/>
          <w:szCs w:val="22"/>
        </w:rPr>
        <w:t xml:space="preserve">What is our current DSAR completion rate, and are we meeting the statutory one-month deadline?</w:t>
      </w:r>
    </w:p>
    <w:p>
      <w:pPr>
        <w:pStyle w:val="ListParagraph"/>
        <w:numPr>
          <w:ilvl w:val="0"/>
          <w:numId w:val="3"/>
        </w:numPr>
        <w:spacing w:after="60" w:before="60"/>
      </w:pPr>
      <w:r>
        <w:rPr>
          <w:rFonts w:ascii="Arial" w:cs="Arial" w:eastAsia="Arial" w:hAnsi="Arial"/>
          <w:sz w:val="22"/>
          <w:szCs w:val="22"/>
        </w:rPr>
        <w:t xml:space="preserve">Has the board approved a DPIA for all AI and automated decision-making systems in use?</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On Fraud Prevention and Crime Act</w:t>
      </w:r>
    </w:p>
    <w:p>
      <w:pPr>
        <w:pStyle w:val="ListParagraph"/>
        <w:numPr>
          <w:ilvl w:val="0"/>
          <w:numId w:val="3"/>
        </w:numPr>
        <w:spacing w:after="60" w:before="60"/>
      </w:pPr>
      <w:r>
        <w:rPr>
          <w:rFonts w:ascii="Arial" w:cs="Arial" w:eastAsia="Arial" w:hAnsi="Arial"/>
          <w:sz w:val="22"/>
          <w:szCs w:val="22"/>
        </w:rPr>
        <w:t xml:space="preserve">What is our documented fraud risk assessment, and when was it last updated?</w:t>
      </w:r>
    </w:p>
    <w:p>
      <w:pPr>
        <w:pStyle w:val="ListParagraph"/>
        <w:numPr>
          <w:ilvl w:val="0"/>
          <w:numId w:val="3"/>
        </w:numPr>
        <w:spacing w:after="60" w:before="60"/>
      </w:pPr>
      <w:r>
        <w:rPr>
          <w:rFonts w:ascii="Arial" w:cs="Arial" w:eastAsia="Arial" w:hAnsi="Arial"/>
          <w:sz w:val="22"/>
          <w:szCs w:val="22"/>
        </w:rPr>
        <w:t xml:space="preserve">Who is accountable at board level for the firm's failure-to-prevent fraud procedures?</w:t>
      </w:r>
    </w:p>
    <w:p>
      <w:pPr>
        <w:pStyle w:val="Heading1"/>
        <w:pageBreakBefore/>
        <w:spacing w:after="200" w:before="240"/>
      </w:pPr>
      <w:r>
        <w:rPr>
          <w:rFonts w:ascii="Arial" w:cs="Arial" w:eastAsia="Arial" w:hAnsi="Arial"/>
          <w:b/>
          <w:bCs/>
          <w:color w:val="1A2744"/>
          <w:sz w:val="32"/>
          <w:szCs w:val="32"/>
        </w:rPr>
        <w:t xml:space="preserve">9. Key Regulatory and Legislative References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00"/>
      </w:tblGrid>
      <w:tr>
        <w:trPr>
          <w:tblHeader/>
        </w:trPr>
        <w:tc>
          <w:tcPr>
            <w:tcW w:type="dxa" w:w="30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Reference</w:t>
            </w:r>
          </w:p>
        </w:tc>
        <w:tc>
          <w:tcPr>
            <w:tcW w:type="dxa" w:w="66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Relevance</w:t>
            </w:r>
          </w:p>
        </w:tc>
      </w:tr>
      <w:tr>
        <w:tc>
          <w:tcPr>
            <w:tcW w:type="dxa" w:w="3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FSMA 2000, s.66B</w:t>
            </w:r>
          </w:p>
        </w:tc>
        <w:tc>
          <w:tcPr>
            <w:tcW w:type="dxa" w:w="6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Senior Manager duty of responsibility — personal liability for regulatory breaches in area of oversight</w:t>
            </w:r>
          </w:p>
        </w:tc>
      </w:tr>
      <w:tr>
        <w:tc>
          <w:tcPr>
            <w:tcW w:type="dxa" w:w="32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SMCR / FCA FIT sourcebook</w:t>
            </w:r>
          </w:p>
        </w:tc>
        <w:tc>
          <w:tcPr>
            <w:tcW w:type="dxa" w:w="64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Fit and proper requirements for Senior Managers and Certified Persons</w:t>
            </w:r>
          </w:p>
        </w:tc>
      </w:tr>
      <w:tr>
        <w:tc>
          <w:tcPr>
            <w:tcW w:type="dxa" w:w="3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Companies Act 2006, ss.171-177</w:t>
            </w:r>
          </w:p>
        </w:tc>
        <w:tc>
          <w:tcPr>
            <w:tcW w:type="dxa" w:w="6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Seven statutory director duties — applicable to all UK company directors</w:t>
            </w:r>
          </w:p>
        </w:tc>
      </w:tr>
      <w:tr>
        <w:tc>
          <w:tcPr>
            <w:tcW w:type="dxa" w:w="32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CDDA 1986</w:t>
            </w:r>
          </w:p>
        </w:tc>
        <w:tc>
          <w:tcPr>
            <w:tcW w:type="dxa" w:w="64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Company Directors Disqualification Act — up to 15-year disqualification for unfit conduct</w:t>
            </w:r>
          </w:p>
        </w:tc>
      </w:tr>
      <w:tr>
        <w:tc>
          <w:tcPr>
            <w:tcW w:type="dxa" w:w="3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Data Protection Act 2018, s.198</w:t>
            </w:r>
          </w:p>
        </w:tc>
        <w:tc>
          <w:tcPr>
            <w:tcW w:type="dxa" w:w="6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Individual director liability where organisational DPA offence committed with consent, connivance or neglect</w:t>
            </w:r>
          </w:p>
        </w:tc>
      </w:tr>
      <w:tr>
        <w:tc>
          <w:tcPr>
            <w:tcW w:type="dxa" w:w="32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UK GDPR</w:t>
            </w:r>
          </w:p>
        </w:tc>
        <w:tc>
          <w:tcPr>
            <w:tcW w:type="dxa" w:w="64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Data protection obligations for organisations and accountability of senior management</w:t>
            </w:r>
          </w:p>
        </w:tc>
      </w:tr>
      <w:tr>
        <w:tc>
          <w:tcPr>
            <w:tcW w:type="dxa" w:w="3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Economic Crime &amp; Corporate Transparency Act 2023</w:t>
            </w:r>
          </w:p>
        </w:tc>
        <w:tc>
          <w:tcPr>
            <w:tcW w:type="dxa" w:w="6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Failure to prevent fraud — corporate offence with individual senior manager exposure</w:t>
            </w:r>
          </w:p>
        </w:tc>
      </w:tr>
      <w:tr>
        <w:tc>
          <w:tcPr>
            <w:tcW w:type="dxa" w:w="32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Crime and Policing Act 2026</w:t>
            </w:r>
          </w:p>
        </w:tc>
        <w:tc>
          <w:tcPr>
            <w:tcW w:type="dxa" w:w="64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Extended corporate and individual criminal liability — senior manager personal exposure for fraud and serious financial crime</w:t>
            </w:r>
          </w:p>
        </w:tc>
      </w:tr>
      <w:tr>
        <w:tc>
          <w:tcPr>
            <w:tcW w:type="dxa" w:w="3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DORA, Article 5</w:t>
            </w:r>
          </w:p>
        </w:tc>
        <w:tc>
          <w:tcPr>
            <w:tcW w:type="dxa" w:w="6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EU Digital Operational Resilience Act — management body obligations for ICT risk governance</w:t>
            </w:r>
          </w:p>
        </w:tc>
      </w:tr>
      <w:tr>
        <w:tc>
          <w:tcPr>
            <w:tcW w:type="dxa" w:w="32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FCA/PRA Operational Resilience Rules</w:t>
            </w:r>
          </w:p>
        </w:tc>
        <w:tc>
          <w:tcPr>
            <w:tcW w:type="dxa" w:w="64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UK equivalent to DORA — board-level accountability for Important Business Services and Impact Tolerances</w:t>
            </w:r>
          </w:p>
        </w:tc>
      </w:tr>
    </w:tbl>
    <w:p>
      <w:pPr>
        <w:pStyle w:val="Heading1"/>
        <w:pageBreakBefore/>
        <w:spacing w:after="200" w:before="240"/>
      </w:pPr>
      <w:r>
        <w:rPr>
          <w:rFonts w:ascii="Arial" w:cs="Arial" w:eastAsia="Arial" w:hAnsi="Arial"/>
          <w:b/>
          <w:bCs/>
          <w:color w:val="1A2744"/>
          <w:sz w:val="32"/>
          <w:szCs w:val="32"/>
        </w:rPr>
        <w:t xml:space="preserve">10. About INFORMD</w:t>
      </w:r>
    </w:p>
    <w:p>
      <w:pPr>
        <w:spacing w:after="80" w:before="80"/>
      </w:pPr>
      <w:r>
        <w:rPr>
          <w:rFonts w:ascii="Arial" w:cs="Arial" w:eastAsia="Arial" w:hAnsi="Arial"/>
          <w:sz w:val="22"/>
          <w:szCs w:val="22"/>
        </w:rPr>
        <w:t xml:space="preserve">INFORMD provides executive intelligence briefings, tools and frameworks for UK senior business leaders navigating regulatory change. We deliver clear, actionable intelligence on the regulatory, technology, and governance developments that matter most to CEOs, CFOs, CISOs, NEDs, and General Counsel at FTSE 350, AIM-listed, and large private companies.</w:t>
      </w:r>
    </w:p>
    <w:p>
      <w:pPr>
        <w:spacing w:after="100" w:before="100"/>
      </w:pPr>
      <w:r>
        <w:t xml:space="preserve"/>
      </w:r>
    </w:p>
    <w:p>
      <w:pPr>
        <w:spacing w:after="80" w:before="80"/>
      </w:pPr>
      <w:r>
        <w:rPr>
          <w:rFonts w:ascii="Arial" w:cs="Arial" w:eastAsia="Arial" w:hAnsi="Arial"/>
          <w:sz w:val="22"/>
          <w:szCs w:val="22"/>
        </w:rPr>
        <w:t xml:space="preserve">Based in Milton Keynes, UK, INFORMD helps boards and executive teams stay ahead of regulatory change — not catch up with it.</w:t>
      </w:r>
    </w:p>
    <w:p>
      <w:pPr>
        <w:spacing w:after="100" w:before="100"/>
      </w:pPr>
      <w:r>
        <w:t xml:space="preserve"/>
      </w:r>
    </w:p>
    <w:p>
      <w:pPr>
        <w:spacing w:after="100" w:before="200"/>
      </w:pPr>
      <w:r>
        <w:rPr>
          <w:rFonts w:ascii="Arial" w:cs="Arial" w:eastAsia="Arial" w:hAnsi="Arial"/>
          <w:sz w:val="22"/>
          <w:szCs w:val="22"/>
        </w:rPr>
        <w:t xml:space="preserve">Explore our full briefing library: </w:t>
      </w:r>
      <w:hyperlink w:history="1" r:id="rIdcq5y1g4fwfxfys0diaduk">
        <w:r>
          <w:rPr>
            <w:rStyle w:val="Hyperlink"/>
            <w:rFonts w:ascii="Arial" w:cs="Arial" w:eastAsia="Arial" w:hAnsi="Arial"/>
            <w:sz w:val="22"/>
            <w:szCs w:val="22"/>
          </w:rPr>
          <w:t xml:space="preserve">informd.co.uk/resources</w:t>
        </w:r>
      </w:hyperlink>
    </w:p>
    <w:p>
      <w:pPr>
        <w:spacing w:after="100" w:before="60"/>
      </w:pPr>
      <w:r>
        <w:rPr>
          <w:rFonts w:ascii="Arial" w:cs="Arial" w:eastAsia="Arial" w:hAnsi="Arial"/>
          <w:sz w:val="22"/>
          <w:szCs w:val="22"/>
        </w:rPr>
        <w:t xml:space="preserve">Free assessment tools: </w:t>
      </w:r>
      <w:hyperlink w:history="1" r:id="rIdqm5_wtbjehf7ryiga4hmr">
        <w:r>
          <w:rPr>
            <w:rStyle w:val="Hyperlink"/>
            <w:rFonts w:ascii="Arial" w:cs="Arial" w:eastAsia="Arial" w:hAnsi="Arial"/>
            <w:sz w:val="22"/>
            <w:szCs w:val="22"/>
          </w:rPr>
          <w:t xml:space="preserve">informd.co.uk/tools-assessments</w:t>
        </w:r>
      </w:hyperlink>
    </w:p>
    <w:p>
      <w:pPr>
        <w:spacing w:after="100" w:before="100"/>
      </w:pPr>
      <w:r>
        <w:t xml:space="preserve"/>
      </w:r>
    </w:p>
    <w:p>
      <w:pPr>
        <w:pBdr>
          <w:top w:val="single" w:color="D0D5DD" w:sz="2"/>
        </w:pBdr>
        <w:spacing w:after="0" w:before="200"/>
      </w:pPr>
      <w:r>
        <w:rPr>
          <w:rFonts w:ascii="Arial" w:cs="Arial" w:eastAsia="Arial" w:hAnsi="Arial"/>
          <w:i/>
          <w:iCs/>
          <w:color w:val="888888"/>
          <w:sz w:val="18"/>
          <w:szCs w:val="18"/>
        </w:rPr>
        <w:t xml:space="preserve">This document is provided for informational purposes only. It does not constitute legal advice. Legislation and regulatory rules are subject to change. Always verify current requirements with your legal and compliance advisers.</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5DD" w:sz="2"/>
      </w:pBdr>
      <w:spacing w:before="120"/>
    </w:pPr>
    <w:r>
      <w:rPr>
        <w:rFonts w:ascii="Arial" w:cs="Arial" w:eastAsia="Arial" w:hAnsi="Arial"/>
        <w:color w:val="888888"/>
        <w:sz w:val="16"/>
        <w:szCs w:val="16"/>
      </w:rPr>
      <w:t xml:space="preserve">INFORMD Confidential  |  informd.co.uk  |  This document is for professional use only. It does not constitute legal advice.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D5DD" w:sz="2"/>
      </w:pBdr>
      <w:tabs>
        <w:tab w:val="right" w:pos="9638"/>
      </w:tabs>
      <w:spacing w:after="120"/>
    </w:pPr>
    <w:r>
      <w:rPr>
        <w:rFonts w:ascii="Arial" w:cs="Arial" w:eastAsia="Arial" w:hAnsi="Arial"/>
        <w:color w:val="888888"/>
        <w:sz w:val="18"/>
        <w:szCs w:val="18"/>
      </w:rPr>
      <w:t xml:space="preserve">INFORMD  |  Director Personal Liability 2026: The Complete NED Guide</w:t>
    </w:r>
    <w:r>
      <w:rPr>
        <w:rFonts w:ascii="Arial" w:cs="Arial" w:eastAsia="Arial" w:hAnsi="Arial"/>
        <w:color w:val="1A2744"/>
        <w:sz w:val="18"/>
        <w:szCs w:val="18"/>
      </w:rPr>
      <w:t xml:space="preserve">	informd.co.uk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A2744"/>
      <w:sz w:val="32"/>
      <w:szCs w:val="32"/>
    </w:rPr>
  </w:style>
  <w:style w:type="paragraph" w:styleId="Heading2">
    <w:name w:val="Heading 2"/>
    <w:basedOn w:val="Normal"/>
    <w:next w:val="Normal"/>
    <w:qFormat/>
    <w:pPr>
      <w:spacing w:after="120" w:before="200"/>
      <w:outlineLvl w:val="1"/>
    </w:pPr>
    <w:rPr>
      <w:rFonts w:ascii="Arial" w:cs="Arial" w:eastAsia="Arial" w:hAnsi="Arial"/>
      <w:b/>
      <w:bCs/>
      <w:color w:val="1A274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cq5y1g4fwfxfys0diaduk" Type="http://schemas.openxmlformats.org/officeDocument/2006/relationships/hyperlink" Target="https://informd.co.uk/resources/" TargetMode="External"/><Relationship Id="rIdqm5_wtbjehf7ryiga4hmr" Type="http://schemas.openxmlformats.org/officeDocument/2006/relationships/hyperlink" Target="https://informd.co.uk/tools-assessments/"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2026-07-02T22:18:29.329Z</dcterms:created>
  <dcterms:modified xsi:type="dcterms:W3CDTF">2026-07-02T22:18:29.329Z</dcterms:modified>
</cp:coreProperties>
</file>

<file path=docProps/custom.xml><?xml version="1.0" encoding="utf-8"?>
<Properties xmlns="http://schemas.openxmlformats.org/officeDocument/2006/custom-properties" xmlns:vt="http://schemas.openxmlformats.org/officeDocument/2006/docPropsVTypes"/>
</file>