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2880"/>
      </w:pPr>
      <w:r>
        <w:rPr>
          <w:rFonts w:ascii="Arial" w:cs="Arial" w:eastAsia="Arial" w:hAnsi="Arial"/>
          <w:b/>
          <w:bCs/>
          <w:color w:val="1A2744"/>
          <w:sz w:val="72"/>
          <w:szCs w:val="72"/>
        </w:rPr>
        <w:t xml:space="preserve">INFORMD</w:t>
      </w:r>
    </w:p>
    <w:p>
      <w:pPr>
        <w:spacing w:after="240"/>
      </w:pPr>
      <w:r>
        <w:rPr>
          <w:rFonts w:ascii="Arial" w:cs="Arial" w:eastAsia="Arial" w:hAnsi="Arial"/>
          <w:i/>
          <w:iCs/>
          <w:color w:val="444444"/>
          <w:sz w:val="32"/>
          <w:szCs w:val="32"/>
        </w:rPr>
        <w:t xml:space="preserve">Executive Intelligence Briefings</w:t>
      </w:r>
    </w:p>
    <w:p>
      <w:pPr>
        <w:spacing w:after="960"/>
      </w:pPr>
      <w:r>
        <w:rPr>
          <w:rFonts w:ascii="Arial" w:cs="Arial" w:eastAsia="Arial" w:hAnsi="Arial"/>
          <w:sz w:val="20"/>
          <w:szCs w:val="20"/>
        </w:rPr>
        <w:t xml:space="preserve"/>
      </w:r>
    </w:p>
    <w:p>
      <w:pPr>
        <w:pBdr>
          <w:top w:val="single" w:color="1A2744" w:sz="12"/>
        </w:pBdr>
        <w:spacing w:after="240" w:before="240"/>
      </w:pPr>
      <w:r>
        <w:rPr>
          <w:rFonts w:ascii="Arial" w:cs="Arial" w:eastAsia="Arial" w:hAnsi="Arial"/>
          <w:sz w:val="20"/>
          <w:szCs w:val="20"/>
        </w:rPr>
        <w:t xml:space="preserve"/>
      </w:r>
    </w:p>
    <w:p>
      <w:pPr>
        <w:spacing w:after="480"/>
      </w:pPr>
      <w:r>
        <w:rPr>
          <w:rFonts w:ascii="Arial" w:cs="Arial" w:eastAsia="Arial" w:hAnsi="Arial"/>
          <w:b/>
          <w:bCs/>
          <w:color w:val="1A2744"/>
          <w:sz w:val="52"/>
          <w:szCs w:val="52"/>
        </w:rPr>
        <w:t xml:space="preserve">UK Corporate Governance Code 2024 — Board Implementation Pack</w:t>
      </w:r>
    </w:p>
    <w:p>
      <w:pPr>
        <w:spacing w:after="240"/>
      </w:pPr>
      <w:r>
        <w:rPr>
          <w:rFonts w:ascii="Arial" w:cs="Arial" w:eastAsia="Arial" w:hAnsi="Arial"/>
          <w:color w:val="444444"/>
          <w:sz w:val="24"/>
          <w:szCs w:val="24"/>
        </w:rPr>
        <w:t xml:space="preserve">For: Board Directors, Company Secretaries, NEDs at UK listed companies (FTSE 350, AIM premium)</w:t>
      </w:r>
    </w:p>
    <w:p>
      <w:pPr>
        <w:spacing w:after="240"/>
      </w:pPr>
      <w:r>
        <w:rPr>
          <w:rFonts w:ascii="Arial" w:cs="Arial" w:eastAsia="Arial" w:hAnsi="Arial"/>
          <w:color w:val="444444"/>
          <w:sz w:val="24"/>
          <w:szCs w:val="24"/>
        </w:rPr>
        <w:t xml:space="preserve">July 2026</w:t>
      </w:r>
    </w:p>
    <w:p>
      <w:pPr>
        <w:spacing w:after="120" w:before="2880"/>
      </w:pPr>
      <w:r>
        <w:rPr>
          <w:rFonts w:ascii="Arial" w:cs="Arial" w:eastAsia="Arial" w:hAnsi="Arial"/>
          <w:color w:val="888888"/>
          <w:sz w:val="20"/>
          <w:szCs w:val="20"/>
        </w:rPr>
        <w:t xml:space="preserve">informd.co.uk</w:t>
      </w:r>
    </w:p>
    <w:p>
      <w:r>
        <w:rPr>
          <w:rFonts w:ascii="Arial" w:cs="Arial" w:eastAsia="Arial" w:hAnsi="Arial"/>
          <w:i/>
          <w:iCs/>
          <w:color w:val="888888"/>
          <w:sz w:val="16"/>
          <w:szCs w:val="16"/>
        </w:rPr>
        <w:t xml:space="preserve">This document is provided for informational purposes only. It does not constitute legal advice. Always verify current requirements with your legal and compliance advisers.</w:t>
      </w:r>
    </w:p>
    <w:p>
      <w:pPr>
        <w:sectPr>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Contents</w:t>
      </w:r>
    </w:p>
    <w:p>
      <w:pPr>
        <w:tabs>
          <w:tab w:val="right" w:pos="9638"/>
        </w:tabs>
        <w:spacing w:after="160"/>
      </w:pPr>
      <w:r>
        <w:rPr>
          <w:rFonts w:ascii="Arial" w:cs="Arial" w:eastAsia="Arial" w:hAnsi="Arial"/>
          <w:sz w:val="20"/>
          <w:szCs w:val="20"/>
        </w:rPr>
        <w:t xml:space="preserve">1.  Executive Summary</w:t>
      </w:r>
      <w:r>
        <w:rPr>
          <w:rFonts w:ascii="Arial" w:cs="Arial" w:eastAsia="Arial" w:hAnsi="Arial"/>
          <w:sz w:val="20"/>
          <w:szCs w:val="20"/>
        </w:rPr>
        <w:t xml:space="preserve">	3</w:t>
      </w:r>
    </w:p>
    <w:p>
      <w:pPr>
        <w:tabs>
          <w:tab w:val="right" w:pos="9638"/>
        </w:tabs>
        <w:spacing w:after="160"/>
      </w:pPr>
      <w:r>
        <w:rPr>
          <w:rFonts w:ascii="Arial" w:cs="Arial" w:eastAsia="Arial" w:hAnsi="Arial"/>
          <w:sz w:val="20"/>
          <w:szCs w:val="20"/>
        </w:rPr>
        <w:t xml:space="preserve">2.  The Five Key Changes</w:t>
      </w:r>
      <w:r>
        <w:rPr>
          <w:rFonts w:ascii="Arial" w:cs="Arial" w:eastAsia="Arial" w:hAnsi="Arial"/>
          <w:sz w:val="20"/>
          <w:szCs w:val="20"/>
        </w:rPr>
        <w:t xml:space="preserve">	4</w:t>
      </w:r>
    </w:p>
    <w:p>
      <w:pPr>
        <w:tabs>
          <w:tab w:val="right" w:pos="9638"/>
        </w:tabs>
        <w:spacing w:after="160"/>
      </w:pPr>
      <w:r>
        <w:rPr>
          <w:rFonts w:ascii="Arial" w:cs="Arial" w:eastAsia="Arial" w:hAnsi="Arial"/>
          <w:sz w:val="20"/>
          <w:szCs w:val="20"/>
        </w:rPr>
        <w:t xml:space="preserve">3.  Provision 29 Deep Dive</w:t>
      </w:r>
      <w:r>
        <w:rPr>
          <w:rFonts w:ascii="Arial" w:cs="Arial" w:eastAsia="Arial" w:hAnsi="Arial"/>
          <w:sz w:val="20"/>
          <w:szCs w:val="20"/>
        </w:rPr>
        <w:t xml:space="preserve">	6</w:t>
      </w:r>
    </w:p>
    <w:p>
      <w:pPr>
        <w:tabs>
          <w:tab w:val="right" w:pos="9638"/>
        </w:tabs>
        <w:spacing w:after="160"/>
      </w:pPr>
      <w:r>
        <w:rPr>
          <w:rFonts w:ascii="Arial" w:cs="Arial" w:eastAsia="Arial" w:hAnsi="Arial"/>
          <w:sz w:val="20"/>
          <w:szCs w:val="20"/>
        </w:rPr>
        <w:t xml:space="preserve">4.  Board Self-Assessment Checklist</w:t>
      </w:r>
      <w:r>
        <w:rPr>
          <w:rFonts w:ascii="Arial" w:cs="Arial" w:eastAsia="Arial" w:hAnsi="Arial"/>
          <w:sz w:val="20"/>
          <w:szCs w:val="20"/>
        </w:rPr>
        <w:t xml:space="preserve">	8</w:t>
      </w:r>
    </w:p>
    <w:p>
      <w:pPr>
        <w:tabs>
          <w:tab w:val="right" w:pos="9638"/>
        </w:tabs>
        <w:spacing w:after="160"/>
      </w:pPr>
      <w:r>
        <w:rPr>
          <w:rFonts w:ascii="Arial" w:cs="Arial" w:eastAsia="Arial" w:hAnsi="Arial"/>
          <w:sz w:val="20"/>
          <w:szCs w:val="20"/>
        </w:rPr>
        <w:t xml:space="preserve">5.  Malus and Clawback Disclosure Template</w:t>
      </w:r>
      <w:r>
        <w:rPr>
          <w:rFonts w:ascii="Arial" w:cs="Arial" w:eastAsia="Arial" w:hAnsi="Arial"/>
          <w:sz w:val="20"/>
          <w:szCs w:val="20"/>
        </w:rPr>
        <w:t xml:space="preserve">	9</w:t>
      </w:r>
    </w:p>
    <w:p>
      <w:pPr>
        <w:tabs>
          <w:tab w:val="right" w:pos="9638"/>
        </w:tabs>
        <w:spacing w:after="160"/>
      </w:pPr>
      <w:r>
        <w:rPr>
          <w:rFonts w:ascii="Arial" w:cs="Arial" w:eastAsia="Arial" w:hAnsi="Arial"/>
          <w:sz w:val="20"/>
          <w:szCs w:val="20"/>
        </w:rPr>
        <w:t xml:space="preserve">6.  Implementation Timeline</w:t>
      </w:r>
      <w:r>
        <w:rPr>
          <w:rFonts w:ascii="Arial" w:cs="Arial" w:eastAsia="Arial" w:hAnsi="Arial"/>
          <w:sz w:val="20"/>
          <w:szCs w:val="20"/>
        </w:rPr>
        <w:t xml:space="preserve">	10</w:t>
      </w:r>
    </w:p>
    <w:p>
      <w:pPr>
        <w:tabs>
          <w:tab w:val="right" w:pos="9638"/>
        </w:tabs>
        <w:spacing w:after="160"/>
      </w:pPr>
      <w:r>
        <w:rPr>
          <w:rFonts w:ascii="Arial" w:cs="Arial" w:eastAsia="Arial" w:hAnsi="Arial"/>
          <w:sz w:val="20"/>
          <w:szCs w:val="20"/>
        </w:rPr>
        <w:t xml:space="preserve">7.  Board Questions to Ask Management</w:t>
      </w:r>
      <w:r>
        <w:rPr>
          <w:rFonts w:ascii="Arial" w:cs="Arial" w:eastAsia="Arial" w:hAnsi="Arial"/>
          <w:sz w:val="20"/>
          <w:szCs w:val="20"/>
        </w:rPr>
        <w:t xml:space="preserve">	11</w:t>
      </w:r>
    </w:p>
    <w:p>
      <w:pPr>
        <w:tabs>
          <w:tab w:val="right" w:pos="9638"/>
        </w:tabs>
        <w:spacing w:after="160"/>
      </w:pPr>
      <w:r>
        <w:rPr>
          <w:rFonts w:ascii="Arial" w:cs="Arial" w:eastAsia="Arial" w:hAnsi="Arial"/>
          <w:sz w:val="20"/>
          <w:szCs w:val="20"/>
        </w:rPr>
        <w:t xml:space="preserve">8.  Key Regulatory References</w:t>
      </w:r>
      <w:r>
        <w:rPr>
          <w:rFonts w:ascii="Arial" w:cs="Arial" w:eastAsia="Arial" w:hAnsi="Arial"/>
          <w:sz w:val="20"/>
          <w:szCs w:val="20"/>
        </w:rPr>
        <w:t xml:space="preserve">	12</w:t>
      </w:r>
    </w:p>
    <w:p>
      <w:pPr>
        <w:tabs>
          <w:tab w:val="right" w:pos="9638"/>
        </w:tabs>
        <w:spacing w:after="160"/>
      </w:pPr>
      <w:r>
        <w:rPr>
          <w:rFonts w:ascii="Arial" w:cs="Arial" w:eastAsia="Arial" w:hAnsi="Arial"/>
          <w:sz w:val="20"/>
          <w:szCs w:val="20"/>
        </w:rPr>
        <w:t xml:space="preserve">9.  About INFORMD</w:t>
      </w:r>
      <w:r>
        <w:rPr>
          <w:rFonts w:ascii="Arial" w:cs="Arial" w:eastAsia="Arial" w:hAnsi="Arial"/>
          <w:sz w:val="20"/>
          <w:szCs w:val="20"/>
        </w:rPr>
        <w:t xml:space="preserve">	13</w:t>
      </w:r>
    </w:p>
    <w:p>
      <w:pPr>
        <w:sectPr>
          <w:headerReference w:type="default" r:id="rId7"/>
          <w:footerReference w:type="default" r:id="rId8"/>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1. Executive Summary</w:t>
      </w:r>
    </w:p>
    <w:p>
      <w:pPr>
        <w:spacing w:after="160"/>
      </w:pPr>
      <w:r>
        <w:rPr>
          <w:rFonts w:ascii="Arial" w:cs="Arial" w:eastAsia="Arial" w:hAnsi="Arial"/>
          <w:sz w:val="20"/>
          <w:szCs w:val="20"/>
        </w:rPr>
        <w:t xml:space="preserve">The UK Corporate Governance Code 2024 applies to financial years beginning on or after 1 January 2025. It introduces five significant changes that boards of UK listed companies (FTSE 350 and AIM premium segments) must understand and implement.</w:t>
      </w:r>
    </w:p>
    <w:p>
      <w:pPr>
        <w:spacing w:after="160"/>
      </w:pPr>
      <w:r>
        <w:rPr>
          <w:rFonts w:ascii="Arial" w:cs="Arial" w:eastAsia="Arial" w:hAnsi="Arial"/>
          <w:sz w:val="20"/>
          <w:szCs w:val="20"/>
        </w:rPr>
        <w:t xml:space="preserve">The most significant change — Provision 29, requiring the board to declare the effectiveness of the company's material controls — has a staggered commencement date. The declaration obligation applies to financial years beginning on or after 1 January 2026, meaning the first Provision 29 declaration for December year-end companies will appear in the 2027 Annual Report.</w:t>
      </w:r>
    </w:p>
    <w:p>
      <w:pPr>
        <w:spacing w:after="160"/>
      </w:pPr>
      <w:r>
        <w:rPr>
          <w:rFonts w:ascii="Arial" w:cs="Arial" w:eastAsia="Arial" w:hAnsi="Arial"/>
          <w:sz w:val="20"/>
          <w:szCs w:val="20"/>
        </w:rPr>
        <w:t xml:space="preserve">This pack provides the board with the framework, tools, and templates to plan and execute compliant implementation of the Code 2024 changes.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KEY DEADLINE: Provision 29 declarations first required in Annual Reports for financial years beginning on or after 1 January 2026. For December year-end companies: first declaration in 2027 Annual Report.</w:t>
            </w:r>
          </w:p>
        </w:tc>
      </w:tr>
    </w:tbl>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The five key changes introduced by the Code 2024 are:</w:t>
      </w:r>
    </w:p>
    <w:p>
      <w:pPr>
        <w:pStyle w:val="ListParagraph"/>
        <w:numPr>
          <w:ilvl w:val="0"/>
          <w:numId w:val="2"/>
        </w:numPr>
      </w:pPr>
      <w:r>
        <w:rPr>
          <w:rFonts w:ascii="Arial" w:cs="Arial" w:eastAsia="Arial" w:hAnsi="Arial"/>
          <w:sz w:val="20"/>
          <w:szCs w:val="20"/>
        </w:rPr>
        <w:t xml:space="preserve">Provision 29 — Internal Controls Declaration: Boards must declare the effectiveness of material controls (financial, operational, reporting, and compliance). This is principles-based comply-or-explain — not UK SOX.</w:t>
      </w:r>
    </w:p>
    <w:p>
      <w:pPr>
        <w:pStyle w:val="ListParagraph"/>
        <w:numPr>
          <w:ilvl w:val="0"/>
          <w:numId w:val="2"/>
        </w:numPr>
      </w:pPr>
      <w:r>
        <w:rPr>
          <w:rFonts w:ascii="Arial" w:cs="Arial" w:eastAsia="Arial" w:hAnsi="Arial"/>
          <w:sz w:val="20"/>
          <w:szCs w:val="20"/>
        </w:rPr>
        <w:t xml:space="preserve">Audit Reform — FRC consolidated previous guidance into a single Guidance Note (January 2024). ARGA was shelved but the FRC retains its powers.</w:t>
      </w:r>
    </w:p>
    <w:p>
      <w:pPr>
        <w:pStyle w:val="ListParagraph"/>
        <w:numPr>
          <w:ilvl w:val="0"/>
          <w:numId w:val="2"/>
        </w:numPr>
      </w:pPr>
      <w:r>
        <w:rPr>
          <w:rFonts w:ascii="Arial" w:cs="Arial" w:eastAsia="Arial" w:hAnsi="Arial"/>
          <w:sz w:val="20"/>
          <w:szCs w:val="20"/>
        </w:rPr>
        <w:t xml:space="preserve">Malus and Clawback Disclosure — Section 5 now requires disclosure of minimum periods for malus and clawback arrangements and explanation of why those periods are appropriate.</w:t>
      </w:r>
    </w:p>
    <w:p>
      <w:pPr>
        <w:pStyle w:val="ListParagraph"/>
        <w:numPr>
          <w:ilvl w:val="0"/>
          <w:numId w:val="2"/>
        </w:numPr>
      </w:pPr>
      <w:r>
        <w:rPr>
          <w:rFonts w:ascii="Arial" w:cs="Arial" w:eastAsia="Arial" w:hAnsi="Arial"/>
          <w:sz w:val="20"/>
          <w:szCs w:val="20"/>
        </w:rPr>
        <w:t xml:space="preserve">Diversity Reporting — FRC significantly scaled back original proposals. The final Code removes specific diversity targets. Principle A focuses on board effectiveness, not diversity metrics.</w:t>
      </w:r>
    </w:p>
    <w:p>
      <w:pPr>
        <w:pStyle w:val="ListParagraph"/>
        <w:numPr>
          <w:ilvl w:val="0"/>
          <w:numId w:val="2"/>
        </w:numPr>
      </w:pPr>
      <w:r>
        <w:rPr>
          <w:rFonts w:ascii="Arial" w:cs="Arial" w:eastAsia="Arial" w:hAnsi="Arial"/>
          <w:sz w:val="20"/>
          <w:szCs w:val="20"/>
        </w:rPr>
        <w:t xml:space="preserve">Board Effectiveness — Enhanced expectations on the quality of board evaluations, skills matrix maintenance, and succession planning.</w:t>
      </w:r>
    </w:p>
    <w:p>
      <w:pPr>
        <w:pStyle w:val="Heading1"/>
        <w:pageBreakBefore/>
      </w:pPr>
      <w:r>
        <w:rPr>
          <w:rFonts w:ascii="Arial" w:cs="Arial" w:eastAsia="Arial" w:hAnsi="Arial"/>
          <w:b/>
          <w:bCs/>
          <w:color w:val="1A2744"/>
          <w:sz w:val="32"/>
          <w:szCs w:val="32"/>
        </w:rPr>
        <w:t xml:space="preserve">2. The Five Key Changes</w:t>
      </w:r>
    </w:p>
    <w:p>
      <w:pPr>
        <w:pStyle w:val="Heading2"/>
      </w:pPr>
      <w:r>
        <w:rPr>
          <w:rFonts w:ascii="Arial" w:cs="Arial" w:eastAsia="Arial" w:hAnsi="Arial"/>
          <w:b/>
          <w:bCs/>
          <w:color w:val="1A2744"/>
          <w:sz w:val="26"/>
          <w:szCs w:val="26"/>
        </w:rPr>
        <w:t xml:space="preserve">2a. Provision 29 — Internal Controls Declaration</w:t>
      </w:r>
    </w:p>
    <w:p>
      <w:pPr>
        <w:spacing w:after="160"/>
      </w:pPr>
      <w:r>
        <w:rPr>
          <w:rFonts w:ascii="Arial" w:cs="Arial" w:eastAsia="Arial" w:hAnsi="Arial"/>
          <w:sz w:val="20"/>
          <w:szCs w:val="20"/>
        </w:rPr>
        <w:t xml:space="preserve">Provision 29 is the most operationally significant change in the Code 2024. It requires the board to declare in the Annual Report whether it has carried out a robust assessment of the effectiveness of the company's material controls and whether those controls are effective.</w:t>
      </w:r>
    </w:p>
    <w:p>
      <w:pPr>
        <w:spacing w:after="160"/>
      </w:pPr>
      <w:r>
        <w:rPr>
          <w:rFonts w:ascii="Arial" w:cs="Arial" w:eastAsia="Arial" w:hAnsi="Arial"/>
          <w:sz w:val="20"/>
          <w:szCs w:val="20"/>
        </w:rPr>
        <w:t xml:space="preserve">This is NOT UK SOX. The FRC has been explicit that Provision 29 is principles-based and subject to comply-or-explain. There is no statutory certification requirement comparable to Sarbanes-Oxley Section 302/404.</w:t>
      </w:r>
    </w:p>
    <w:p>
      <w:pPr>
        <w:spacing w:after="160"/>
      </w:pPr>
      <w:r>
        <w:rPr>
          <w:rFonts w:ascii="Arial" w:cs="Arial" w:eastAsia="Arial" w:hAnsi="Arial"/>
          <w:sz w:val="20"/>
          <w:szCs w:val="20"/>
        </w:rPr>
        <w:t xml:space="preserve">Timeline:</w:t>
      </w:r>
    </w:p>
    <w:p>
      <w:pPr>
        <w:pStyle w:val="ListParagraph"/>
        <w:numPr>
          <w:ilvl w:val="0"/>
          <w:numId w:val="2"/>
        </w:numPr>
      </w:pPr>
      <w:r>
        <w:rPr>
          <w:rFonts w:ascii="Arial" w:cs="Arial" w:eastAsia="Arial" w:hAnsi="Arial"/>
          <w:sz w:val="20"/>
          <w:szCs w:val="20"/>
        </w:rPr>
        <w:t xml:space="preserve">FY commencing on or after 1 January 2026: First assessment period</w:t>
      </w:r>
    </w:p>
    <w:p>
      <w:pPr>
        <w:pStyle w:val="ListParagraph"/>
        <w:numPr>
          <w:ilvl w:val="0"/>
          <w:numId w:val="2"/>
        </w:numPr>
      </w:pPr>
      <w:r>
        <w:rPr>
          <w:rFonts w:ascii="Arial" w:cs="Arial" w:eastAsia="Arial" w:hAnsi="Arial"/>
          <w:sz w:val="20"/>
          <w:szCs w:val="20"/>
        </w:rPr>
        <w:t xml:space="preserve">Annual Report 2027 (for December year-end companies): First public Provision 29 declaration</w:t>
      </w:r>
    </w:p>
    <w:p>
      <w:pPr>
        <w:spacing w:after="160"/>
      </w:pPr>
      <w:r>
        <w:rPr>
          <w:rFonts w:ascii="Arial" w:cs="Arial" w:eastAsia="Arial" w:hAnsi="Arial"/>
          <w:sz w:val="20"/>
          <w:szCs w:val="20"/>
        </w:rPr>
        <w:t xml:space="preserve">The FRC defines 'material controls' as covering four categories: financial reporting controls, operational controls, disclosure/reporting controls, and compliance controls. This is broader than traditional financial controls frameworks.</w:t>
      </w:r>
    </w:p>
    <w:p>
      <w:pPr>
        <w:pStyle w:val="Heading2"/>
      </w:pPr>
      <w:r>
        <w:rPr>
          <w:rFonts w:ascii="Arial" w:cs="Arial" w:eastAsia="Arial" w:hAnsi="Arial"/>
          <w:b/>
          <w:bCs/>
          <w:color w:val="1A2744"/>
          <w:sz w:val="26"/>
          <w:szCs w:val="26"/>
        </w:rPr>
        <w:t xml:space="preserve">2b. Audit Reform — FRC Guidance Note (January 2024)</w:t>
      </w:r>
    </w:p>
    <w:p>
      <w:pPr>
        <w:spacing w:after="160"/>
      </w:pPr>
      <w:r>
        <w:rPr>
          <w:rFonts w:ascii="Arial" w:cs="Arial" w:eastAsia="Arial" w:hAnsi="Arial"/>
          <w:sz w:val="20"/>
          <w:szCs w:val="20"/>
        </w:rPr>
        <w:t xml:space="preserve">The FRC consolidated its previous audit-related guidance into a single Guidance Note published in January 2024. This replaces earlier standalone guidance documents and provides integrated direction on audit committee responsibilities, external audit oversight, and internal audit expectations.</w:t>
      </w:r>
    </w:p>
    <w:p>
      <w:pPr>
        <w:spacing w:after="160"/>
      </w:pPr>
      <w:r>
        <w:rPr>
          <w:rFonts w:ascii="Arial" w:cs="Arial" w:eastAsia="Arial" w:hAnsi="Arial"/>
          <w:sz w:val="20"/>
          <w:szCs w:val="20"/>
        </w:rPr>
        <w:t xml:space="preserve">ARGA (the proposed replacement for the FRC) was shelved following the change of government. The FRC retains its regulatory powers under the existing framework. The Audit Committee Minimum Standard, published separately, sets out baseline expectations for audit committees of premium-listed companies.</w:t>
      </w:r>
    </w:p>
    <w:p>
      <w:pPr>
        <w:pStyle w:val="Heading2"/>
      </w:pPr>
      <w:r>
        <w:rPr>
          <w:rFonts w:ascii="Arial" w:cs="Arial" w:eastAsia="Arial" w:hAnsi="Arial"/>
          <w:b/>
          <w:bCs/>
          <w:color w:val="1A2744"/>
          <w:sz w:val="26"/>
          <w:szCs w:val="26"/>
        </w:rPr>
        <w:t xml:space="preserve">2c. Malus and Clawback Disclosure</w:t>
      </w:r>
    </w:p>
    <w:p>
      <w:pPr>
        <w:spacing w:after="160"/>
      </w:pPr>
      <w:r>
        <w:rPr>
          <w:rFonts w:ascii="Arial" w:cs="Arial" w:eastAsia="Arial" w:hAnsi="Arial"/>
          <w:sz w:val="20"/>
          <w:szCs w:val="20"/>
        </w:rPr>
        <w:t xml:space="preserve">Section 5 of the Code 2024 introduces new disclosure requirements for malus and clawback arrangements. Companies must now disclose:</w:t>
      </w:r>
    </w:p>
    <w:p>
      <w:pPr>
        <w:pStyle w:val="ListParagraph"/>
        <w:numPr>
          <w:ilvl w:val="0"/>
          <w:numId w:val="2"/>
        </w:numPr>
      </w:pPr>
      <w:r>
        <w:rPr>
          <w:rFonts w:ascii="Arial" w:cs="Arial" w:eastAsia="Arial" w:hAnsi="Arial"/>
          <w:sz w:val="20"/>
          <w:szCs w:val="20"/>
        </w:rPr>
        <w:t xml:space="preserve">The minimum periods for which malus and clawback arrangements will operate</w:t>
      </w:r>
    </w:p>
    <w:p>
      <w:pPr>
        <w:pStyle w:val="ListParagraph"/>
        <w:numPr>
          <w:ilvl w:val="0"/>
          <w:numId w:val="2"/>
        </w:numPr>
      </w:pPr>
      <w:r>
        <w:rPr>
          <w:rFonts w:ascii="Arial" w:cs="Arial" w:eastAsia="Arial" w:hAnsi="Arial"/>
          <w:sz w:val="20"/>
          <w:szCs w:val="20"/>
        </w:rPr>
        <w:t xml:space="preserve">An explanation of why those minimum periods are considered appropriate</w:t>
      </w:r>
    </w:p>
    <w:p>
      <w:pPr>
        <w:spacing w:after="160"/>
      </w:pPr>
      <w:r>
        <w:rPr>
          <w:rFonts w:ascii="Arial" w:cs="Arial" w:eastAsia="Arial" w:hAnsi="Arial"/>
          <w:sz w:val="20"/>
          <w:szCs w:val="20"/>
        </w:rPr>
        <w:t xml:space="preserve">This requires listed companies to review and update their remuneration policies to ensure the disclosure wording reflects the Code requirements. Companies whose existing policies do not specify minimum periods will need to update their policy at the next AGM.</w:t>
      </w:r>
    </w:p>
    <w:p>
      <w:pPr>
        <w:pStyle w:val="Heading2"/>
      </w:pPr>
      <w:r>
        <w:rPr>
          <w:rFonts w:ascii="Arial" w:cs="Arial" w:eastAsia="Arial" w:hAnsi="Arial"/>
          <w:b/>
          <w:bCs/>
          <w:color w:val="1A2744"/>
          <w:sz w:val="26"/>
          <w:szCs w:val="26"/>
        </w:rPr>
        <w:t xml:space="preserve">2d. Diversity Reporting</w:t>
      </w:r>
    </w:p>
    <w:p>
      <w:pPr>
        <w:spacing w:after="160"/>
      </w:pPr>
      <w:r>
        <w:rPr>
          <w:rFonts w:ascii="Arial" w:cs="Arial" w:eastAsia="Arial" w:hAnsi="Arial"/>
          <w:sz w:val="20"/>
          <w:szCs w:val="20"/>
        </w:rPr>
        <w:t xml:space="preserve">The FRC significantly scaled back its original diversity reporting proposals following consultation. The final Code 2024 removes specific diversity targets that had been proposed in earlier drafts. Principle A has been refocused on board effectiveness more broadly, rather than prescribing diversity metrics.</w:t>
      </w:r>
    </w:p>
    <w:p>
      <w:pPr>
        <w:spacing w:after="160"/>
      </w:pPr>
      <w:r>
        <w:rPr>
          <w:rFonts w:ascii="Arial" w:cs="Arial" w:eastAsia="Arial" w:hAnsi="Arial"/>
          <w:sz w:val="20"/>
          <w:szCs w:val="20"/>
        </w:rPr>
        <w:t xml:space="preserve">Companies retain flexibility in how they report on board composition, but the expectation remains that boards reflect on how their composition supports effective decision-making and long-term success.</w:t>
      </w:r>
    </w:p>
    <w:p>
      <w:pPr>
        <w:pStyle w:val="Heading2"/>
      </w:pPr>
      <w:r>
        <w:rPr>
          <w:rFonts w:ascii="Arial" w:cs="Arial" w:eastAsia="Arial" w:hAnsi="Arial"/>
          <w:b/>
          <w:bCs/>
          <w:color w:val="1A2744"/>
          <w:sz w:val="26"/>
          <w:szCs w:val="26"/>
        </w:rPr>
        <w:t xml:space="preserve">2e. Board Effectiveness</w:t>
      </w:r>
    </w:p>
    <w:p>
      <w:pPr>
        <w:spacing w:after="160"/>
      </w:pPr>
      <w:r>
        <w:rPr>
          <w:rFonts w:ascii="Arial" w:cs="Arial" w:eastAsia="Arial" w:hAnsi="Arial"/>
          <w:sz w:val="20"/>
          <w:szCs w:val="20"/>
        </w:rPr>
        <w:t xml:space="preserve">The Code 2024 includes enhanced expectations on:</w:t>
      </w:r>
    </w:p>
    <w:p>
      <w:pPr>
        <w:pStyle w:val="ListParagraph"/>
        <w:numPr>
          <w:ilvl w:val="0"/>
          <w:numId w:val="2"/>
        </w:numPr>
      </w:pPr>
      <w:r>
        <w:rPr>
          <w:rFonts w:ascii="Arial" w:cs="Arial" w:eastAsia="Arial" w:hAnsi="Arial"/>
          <w:sz w:val="20"/>
          <w:szCs w:val="20"/>
        </w:rPr>
        <w:t xml:space="preserve">The quality and rigour of board effectiveness evaluations — external evaluations for FTSE 350 companies at least every three years</w:t>
      </w:r>
    </w:p>
    <w:p>
      <w:pPr>
        <w:pStyle w:val="ListParagraph"/>
        <w:numPr>
          <w:ilvl w:val="0"/>
          <w:numId w:val="2"/>
        </w:numPr>
      </w:pPr>
      <w:r>
        <w:rPr>
          <w:rFonts w:ascii="Arial" w:cs="Arial" w:eastAsia="Arial" w:hAnsi="Arial"/>
          <w:sz w:val="20"/>
          <w:szCs w:val="20"/>
        </w:rPr>
        <w:t xml:space="preserve">Maintenance of a formal and documented skills matrix for the board</w:t>
      </w:r>
    </w:p>
    <w:p>
      <w:pPr>
        <w:pStyle w:val="ListParagraph"/>
        <w:numPr>
          <w:ilvl w:val="0"/>
          <w:numId w:val="2"/>
        </w:numPr>
      </w:pPr>
      <w:r>
        <w:rPr>
          <w:rFonts w:ascii="Arial" w:cs="Arial" w:eastAsia="Arial" w:hAnsi="Arial"/>
          <w:sz w:val="20"/>
          <w:szCs w:val="20"/>
        </w:rPr>
        <w:t xml:space="preserve">Succession planning — the board should ensure that plans are in place for orderly succession to senior positions</w:t>
      </w:r>
    </w:p>
    <w:p>
      <w:pPr>
        <w:pStyle w:val="Heading1"/>
        <w:pageBreakBefore/>
      </w:pPr>
      <w:r>
        <w:rPr>
          <w:rFonts w:ascii="Arial" w:cs="Arial" w:eastAsia="Arial" w:hAnsi="Arial"/>
          <w:b/>
          <w:bCs/>
          <w:color w:val="1A2744"/>
          <w:sz w:val="32"/>
          <w:szCs w:val="32"/>
        </w:rPr>
        <w:t xml:space="preserve">3. Provision 29 — Deep Dive</w:t>
      </w:r>
    </w:p>
    <w:p>
      <w:pPr>
        <w:spacing w:after="160"/>
      </w:pPr>
      <w:r>
        <w:rPr>
          <w:rFonts w:ascii="Arial" w:cs="Arial" w:eastAsia="Arial" w:hAnsi="Arial"/>
          <w:sz w:val="20"/>
          <w:szCs w:val="20"/>
        </w:rPr>
        <w:t xml:space="preserve">Provision 29 represents the most significant governance change for UK boards since the introduction of the Code's risk reporting requirements. This section provides the detail boards need to prepare.</w:t>
      </w:r>
    </w:p>
    <w:p>
      <w:pPr>
        <w:pStyle w:val="Heading2"/>
      </w:pPr>
      <w:r>
        <w:rPr>
          <w:rFonts w:ascii="Arial" w:cs="Arial" w:eastAsia="Arial" w:hAnsi="Arial"/>
          <w:b/>
          <w:bCs/>
          <w:color w:val="1A2744"/>
          <w:sz w:val="26"/>
          <w:szCs w:val="26"/>
        </w:rPr>
        <w:t xml:space="preserve">What are 'Material Controls'?</w:t>
      </w:r>
    </w:p>
    <w:p>
      <w:pPr>
        <w:spacing w:after="160"/>
      </w:pPr>
      <w:r>
        <w:rPr>
          <w:rFonts w:ascii="Arial" w:cs="Arial" w:eastAsia="Arial" w:hAnsi="Arial"/>
          <w:sz w:val="20"/>
          <w:szCs w:val="20"/>
        </w:rPr>
        <w:t xml:space="preserve">The FRC's Guidance Note (January 2024) defines material controls across four categories: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Category</w:t>
            </w:r>
          </w:p>
        </w:tc>
        <w:tc>
          <w:tcPr>
            <w:tcW w:type="dxa" w:w="72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Financial Reporting</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Controls over the accuracy and completeness of financial statements and disclosures. Includes month-end close process, journal entry controls, financial reporting systems.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Operational</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Controls over key operational processes that could, if they failed, have a material impact on the business. Includes operational risk management, key process controls.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Reporting / Disclosure</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Controls ensuring that regulatory disclosures, market announcements, and other reporting obligations are accurate and timely.</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Compliance</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Controls ensuring compliance with applicable laws, regulations, and the company's own policies where non-compliance could be material.</w:t>
            </w:r>
          </w:p>
        </w:tc>
      </w:tr>
    </w:tbl>
    <w:p>
      <w:pPr>
        <w:spacing w:after="160"/>
      </w:pPr>
      <w:r>
        <w:rPr>
          <w:rFonts w:ascii="Arial" w:cs="Arial" w:eastAsia="Arial" w:hAnsi="Arial"/>
          <w:sz w:val="20"/>
          <w:szCs w:val="20"/>
        </w:rPr>
        <w:t xml:space="preserve"/>
      </w:r>
    </w:p>
    <w:p>
      <w:pPr>
        <w:pStyle w:val="Heading2"/>
      </w:pPr>
      <w:r>
        <w:rPr>
          <w:rFonts w:ascii="Arial" w:cs="Arial" w:eastAsia="Arial" w:hAnsi="Arial"/>
          <w:b/>
          <w:bCs/>
          <w:color w:val="1A2744"/>
          <w:sz w:val="26"/>
          <w:szCs w:val="26"/>
        </w:rPr>
        <w:t xml:space="preserve">The Board Declaration — What Does It Say?</w:t>
      </w:r>
    </w:p>
    <w:p>
      <w:pPr>
        <w:spacing w:after="160"/>
      </w:pPr>
      <w:r>
        <w:rPr>
          <w:rFonts w:ascii="Arial" w:cs="Arial" w:eastAsia="Arial" w:hAnsi="Arial"/>
          <w:sz w:val="20"/>
          <w:szCs w:val="20"/>
        </w:rPr>
        <w:t xml:space="preserve">Template declaration wording for the Annual Report: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"The Board has carried out a robust assessment of the effectiveness of the Company's material controls during the year ended [date]. The Board is satisfied that the Company's material controls, covering financial reporting, operational, reporting/disclosure, and compliance controls, were effective throughout the year [or: except as noted below]. The Board has overseen management's process for identifying, assessing, and monitoring material controls and has received regular reporting from the Audit Committee on the operation of this process."</w:t>
            </w:r>
          </w:p>
        </w:tc>
      </w:tr>
    </w:tbl>
    <w:p>
      <w:pPr>
        <w:spacing w:after="160"/>
      </w:pPr>
      <w:r>
        <w:rPr>
          <w:rFonts w:ascii="Arial" w:cs="Arial" w:eastAsia="Arial" w:hAnsi="Arial"/>
          <w:sz w:val="20"/>
          <w:szCs w:val="20"/>
        </w:rPr>
        <w:t xml:space="preserve"/>
      </w:r>
    </w:p>
    <w:p>
      <w:pPr>
        <w:pStyle w:val="Heading2"/>
      </w:pPr>
      <w:r>
        <w:rPr>
          <w:rFonts w:ascii="Arial" w:cs="Arial" w:eastAsia="Arial" w:hAnsi="Arial"/>
          <w:b/>
          <w:bCs/>
          <w:color w:val="1A2744"/>
          <w:sz w:val="26"/>
          <w:szCs w:val="26"/>
        </w:rPr>
        <w:t xml:space="preserve">What Evidence Does the Board Need?</w:t>
      </w:r>
    </w:p>
    <w:p>
      <w:pPr>
        <w:pStyle w:val="ListParagraph"/>
        <w:numPr>
          <w:ilvl w:val="0"/>
          <w:numId w:val="2"/>
        </w:numPr>
      </w:pPr>
      <w:r>
        <w:rPr>
          <w:rFonts w:ascii="Arial" w:cs="Arial" w:eastAsia="Arial" w:hAnsi="Arial"/>
          <w:sz w:val="20"/>
          <w:szCs w:val="20"/>
        </w:rPr>
        <w:t xml:space="preserve">A documented controls framework mapping the company's controls to the four FRC categories</w:t>
      </w:r>
    </w:p>
    <w:p>
      <w:pPr>
        <w:pStyle w:val="ListParagraph"/>
        <w:numPr>
          <w:ilvl w:val="0"/>
          <w:numId w:val="2"/>
        </w:numPr>
      </w:pPr>
      <w:r>
        <w:rPr>
          <w:rFonts w:ascii="Arial" w:cs="Arial" w:eastAsia="Arial" w:hAnsi="Arial"/>
          <w:sz w:val="20"/>
          <w:szCs w:val="20"/>
        </w:rPr>
        <w:t xml:space="preserve">Regular reporting from management and the Audit Committee on controls operation and any deficiencies</w:t>
      </w:r>
    </w:p>
    <w:p>
      <w:pPr>
        <w:pStyle w:val="ListParagraph"/>
        <w:numPr>
          <w:ilvl w:val="0"/>
          <w:numId w:val="2"/>
        </w:numPr>
      </w:pPr>
      <w:r>
        <w:rPr>
          <w:rFonts w:ascii="Arial" w:cs="Arial" w:eastAsia="Arial" w:hAnsi="Arial"/>
          <w:sz w:val="20"/>
          <w:szCs w:val="20"/>
        </w:rPr>
        <w:t xml:space="preserve">Results of internal audit work covering material controls</w:t>
      </w:r>
    </w:p>
    <w:p>
      <w:pPr>
        <w:pStyle w:val="ListParagraph"/>
        <w:numPr>
          <w:ilvl w:val="0"/>
          <w:numId w:val="2"/>
        </w:numPr>
      </w:pPr>
      <w:r>
        <w:rPr>
          <w:rFonts w:ascii="Arial" w:cs="Arial" w:eastAsia="Arial" w:hAnsi="Arial"/>
          <w:sz w:val="20"/>
          <w:szCs w:val="20"/>
        </w:rPr>
        <w:t xml:space="preserve">Management attestation process — written sign-off from divisional/functional heads on controls in their area</w:t>
      </w:r>
    </w:p>
    <w:p>
      <w:pPr>
        <w:pStyle w:val="ListParagraph"/>
        <w:numPr>
          <w:ilvl w:val="0"/>
          <w:numId w:val="2"/>
        </w:numPr>
      </w:pPr>
      <w:r>
        <w:rPr>
          <w:rFonts w:ascii="Arial" w:cs="Arial" w:eastAsia="Arial" w:hAnsi="Arial"/>
          <w:sz w:val="20"/>
          <w:szCs w:val="20"/>
        </w:rPr>
        <w:t xml:space="preserve">Evidence of remediation for any deficiencies identified during the year</w:t>
      </w:r>
    </w:p>
    <w:p>
      <w:pPr>
        <w:pStyle w:val="Heading2"/>
      </w:pPr>
      <w:r>
        <w:rPr>
          <w:rFonts w:ascii="Arial" w:cs="Arial" w:eastAsia="Arial" w:hAnsi="Arial"/>
          <w:b/>
          <w:bCs/>
          <w:color w:val="1A2744"/>
          <w:sz w:val="26"/>
          <w:szCs w:val="26"/>
        </w:rPr>
        <w:t xml:space="preserve">Review vs Monitor</w:t>
      </w:r>
    </w:p>
    <w:p>
      <w:pPr>
        <w:spacing w:after="160"/>
      </w:pPr>
      <w:r>
        <w:rPr>
          <w:rFonts w:ascii="Arial" w:cs="Arial" w:eastAsia="Arial" w:hAnsi="Arial"/>
          <w:sz w:val="20"/>
          <w:szCs w:val="20"/>
        </w:rPr>
        <w:t xml:space="preserve">The Code distinguishes between the board's role to 'review' the effectiveness of controls (an active assessment) and to 'monitor' (ongoing oversight). Provision 29 requires active review — the board must be satisfied with the design and operation of material controls, not merely that it has received reports.</w:t>
      </w:r>
    </w:p>
    <w:p>
      <w:pPr>
        <w:pStyle w:val="Heading2"/>
      </w:pPr>
      <w:r>
        <w:rPr>
          <w:rFonts w:ascii="Arial" w:cs="Arial" w:eastAsia="Arial" w:hAnsi="Arial"/>
          <w:b/>
          <w:bCs/>
          <w:color w:val="1A2744"/>
          <w:sz w:val="26"/>
          <w:szCs w:val="26"/>
        </w:rPr>
        <w:t xml:space="preserve">The 'Reasonable Assurance' Standard</w:t>
      </w:r>
    </w:p>
    <w:p>
      <w:pPr>
        <w:spacing w:after="160"/>
      </w:pPr>
      <w:r>
        <w:rPr>
          <w:rFonts w:ascii="Arial" w:cs="Arial" w:eastAsia="Arial" w:hAnsi="Arial"/>
          <w:sz w:val="20"/>
          <w:szCs w:val="20"/>
        </w:rPr>
        <w:t xml:space="preserve">Provision 29 does not require absolute assurance. The standard is 'reasonable assurance' — the board must have a sound basis for its declaration but is not required to guarantee that no control failures have occurred. This is consistent with the comply-or-explain principles-based approach.</w:t>
      </w:r>
    </w:p>
    <w:p>
      <w:pPr>
        <w:pStyle w:val="Heading2"/>
      </w:pPr>
      <w:r>
        <w:rPr>
          <w:rFonts w:ascii="Arial" w:cs="Arial" w:eastAsia="Arial" w:hAnsi="Arial"/>
          <w:b/>
          <w:bCs/>
          <w:color w:val="1A2744"/>
          <w:sz w:val="26"/>
          <w:szCs w:val="26"/>
        </w:rPr>
        <w:t xml:space="preserve">Common Mistakes to Avoid</w:t>
      </w:r>
    </w:p>
    <w:p>
      <w:pPr>
        <w:pStyle w:val="ListParagraph"/>
        <w:numPr>
          <w:ilvl w:val="0"/>
          <w:numId w:val="2"/>
        </w:numPr>
      </w:pPr>
      <w:r>
        <w:rPr>
          <w:rFonts w:ascii="Arial" w:cs="Arial" w:eastAsia="Arial" w:hAnsi="Arial"/>
          <w:sz w:val="20"/>
          <w:szCs w:val="20"/>
        </w:rPr>
        <w:t xml:space="preserve">Treating Provision 29 as a financial controls exercise only — all four categories must be covered</w:t>
      </w:r>
    </w:p>
    <w:p>
      <w:pPr>
        <w:pStyle w:val="ListParagraph"/>
        <w:numPr>
          <w:ilvl w:val="0"/>
          <w:numId w:val="2"/>
        </w:numPr>
      </w:pPr>
      <w:r>
        <w:rPr>
          <w:rFonts w:ascii="Arial" w:cs="Arial" w:eastAsia="Arial" w:hAnsi="Arial"/>
          <w:sz w:val="20"/>
          <w:szCs w:val="20"/>
        </w:rPr>
        <w:t xml:space="preserve">Failing to document the framework before the FY2026 assessment period begins</w:t>
      </w:r>
    </w:p>
    <w:p>
      <w:pPr>
        <w:pStyle w:val="ListParagraph"/>
        <w:numPr>
          <w:ilvl w:val="0"/>
          <w:numId w:val="2"/>
        </w:numPr>
      </w:pPr>
      <w:r>
        <w:rPr>
          <w:rFonts w:ascii="Arial" w:cs="Arial" w:eastAsia="Arial" w:hAnsi="Arial"/>
          <w:sz w:val="20"/>
          <w:szCs w:val="20"/>
        </w:rPr>
        <w:t xml:space="preserve">Internal audit not resourced to support the Provision 29 process</w:t>
      </w:r>
    </w:p>
    <w:p>
      <w:pPr>
        <w:pStyle w:val="ListParagraph"/>
        <w:numPr>
          <w:ilvl w:val="0"/>
          <w:numId w:val="2"/>
        </w:numPr>
      </w:pPr>
      <w:r>
        <w:rPr>
          <w:rFonts w:ascii="Arial" w:cs="Arial" w:eastAsia="Arial" w:hAnsi="Arial"/>
          <w:sz w:val="20"/>
          <w:szCs w:val="20"/>
        </w:rPr>
        <w:t xml:space="preserve">Board declaration drafted without adequate supporting evidence</w:t>
      </w:r>
    </w:p>
    <w:p>
      <w:pPr>
        <w:pStyle w:val="ListParagraph"/>
        <w:numPr>
          <w:ilvl w:val="0"/>
          <w:numId w:val="2"/>
        </w:numPr>
      </w:pPr>
      <w:r>
        <w:rPr>
          <w:rFonts w:ascii="Arial" w:cs="Arial" w:eastAsia="Arial" w:hAnsi="Arial"/>
          <w:sz w:val="20"/>
          <w:szCs w:val="20"/>
        </w:rPr>
        <w:t xml:space="preserve">Audit Committee not formally tasked with overseeing the Provision 29 process</w:t>
      </w:r>
    </w:p>
    <w:p>
      <w:pPr>
        <w:pStyle w:val="Heading1"/>
        <w:pageBreakBefore/>
      </w:pPr>
      <w:r>
        <w:rPr>
          <w:rFonts w:ascii="Arial" w:cs="Arial" w:eastAsia="Arial" w:hAnsi="Arial"/>
          <w:b/>
          <w:bCs/>
          <w:color w:val="1A2744"/>
          <w:sz w:val="32"/>
          <w:szCs w:val="32"/>
        </w:rPr>
        <w:t xml:space="preserve">4. Board Self-Assessment Checklist</w:t>
      </w:r>
    </w:p>
    <w:p>
      <w:pPr>
        <w:spacing w:after="160"/>
      </w:pPr>
      <w:r>
        <w:rPr>
          <w:rFonts w:ascii="Arial" w:cs="Arial" w:eastAsia="Arial" w:hAnsi="Arial"/>
          <w:b/>
          <w:bCs/>
          <w:sz w:val="20"/>
          <w:szCs w:val="20"/>
        </w:rPr>
        <w:t xml:space="preserve">Use this checklist to assess your board's readiness for Provision 29 and the other Code 2024 changes.</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Provision 29 — Material Controls</w:t>
      </w:r>
    </w:p>
    <w:p>
      <w:pPr>
        <w:spacing w:after="100"/>
      </w:pPr>
      <w:r>
        <w:rPr>
          <w:rFonts w:ascii="Arial" w:cs="Arial" w:eastAsia="Arial" w:hAnsi="Arial"/>
          <w:sz w:val="20"/>
          <w:szCs w:val="20"/>
        </w:rPr>
        <w:t xml:space="preserve">☐  Have we scoped our material controls across all four FRC categories (financial, operational, reporting, compliance)?</w:t>
      </w:r>
    </w:p>
    <w:p>
      <w:pPr>
        <w:spacing w:after="100"/>
      </w:pPr>
      <w:r>
        <w:rPr>
          <w:rFonts w:ascii="Arial" w:cs="Arial" w:eastAsia="Arial" w:hAnsi="Arial"/>
          <w:sz w:val="20"/>
          <w:szCs w:val="20"/>
        </w:rPr>
        <w:t xml:space="preserve">☐  Do we have a documented controls framework mapped to the FRC definition?</w:t>
      </w:r>
    </w:p>
    <w:p>
      <w:pPr>
        <w:spacing w:after="100"/>
      </w:pPr>
      <w:r>
        <w:rPr>
          <w:rFonts w:ascii="Arial" w:cs="Arial" w:eastAsia="Arial" w:hAnsi="Arial"/>
          <w:sz w:val="20"/>
          <w:szCs w:val="20"/>
        </w:rPr>
        <w:t xml:space="preserve">☐  Is the Audit Committee receiving regular reporting on controls operation and deficiencies?</w:t>
      </w:r>
    </w:p>
    <w:p>
      <w:pPr>
        <w:spacing w:after="100"/>
      </w:pPr>
      <w:r>
        <w:rPr>
          <w:rFonts w:ascii="Arial" w:cs="Arial" w:eastAsia="Arial" w:hAnsi="Arial"/>
          <w:sz w:val="20"/>
          <w:szCs w:val="20"/>
        </w:rPr>
        <w:t xml:space="preserve">☐  Have we allocated board-level responsibility for each control category?</w:t>
      </w:r>
    </w:p>
    <w:p>
      <w:pPr>
        <w:spacing w:after="100"/>
      </w:pPr>
      <w:r>
        <w:rPr>
          <w:rFonts w:ascii="Arial" w:cs="Arial" w:eastAsia="Arial" w:hAnsi="Arial"/>
          <w:sz w:val="20"/>
          <w:szCs w:val="20"/>
        </w:rPr>
        <w:t xml:space="preserve">☐  Do we have a management attestation process feeding into the board declaration?</w:t>
      </w:r>
    </w:p>
    <w:p>
      <w:pPr>
        <w:spacing w:after="100"/>
      </w:pPr>
      <w:r>
        <w:rPr>
          <w:rFonts w:ascii="Arial" w:cs="Arial" w:eastAsia="Arial" w:hAnsi="Arial"/>
          <w:sz w:val="20"/>
          <w:szCs w:val="20"/>
        </w:rPr>
        <w:t xml:space="preserve">☐  Is our internal audit function resourced to support the Provision 29 process?</w:t>
      </w:r>
    </w:p>
    <w:p>
      <w:pPr>
        <w:spacing w:after="100"/>
      </w:pPr>
      <w:r>
        <w:rPr>
          <w:rFonts w:ascii="Arial" w:cs="Arial" w:eastAsia="Arial" w:hAnsi="Arial"/>
          <w:sz w:val="20"/>
          <w:szCs w:val="20"/>
        </w:rPr>
        <w:t xml:space="preserve">☐  Is our external auditor engaged on our approach to Provision 29?</w:t>
      </w:r>
    </w:p>
    <w:p>
      <w:pPr>
        <w:spacing w:after="100"/>
      </w:pPr>
      <w:r>
        <w:rPr>
          <w:rFonts w:ascii="Arial" w:cs="Arial" w:eastAsia="Arial" w:hAnsi="Arial"/>
          <w:sz w:val="20"/>
          <w:szCs w:val="20"/>
        </w:rPr>
        <w:t xml:space="preserve">☐  Is Provision 29 on the board calendar for FY2026 with clear milestones?</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Malus and Clawback</w:t>
      </w:r>
    </w:p>
    <w:p>
      <w:pPr>
        <w:spacing w:after="100"/>
      </w:pPr>
      <w:r>
        <w:rPr>
          <w:rFonts w:ascii="Arial" w:cs="Arial" w:eastAsia="Arial" w:hAnsi="Arial"/>
          <w:sz w:val="20"/>
          <w:szCs w:val="20"/>
        </w:rPr>
        <w:t xml:space="preserve">☐  Does our current remuneration policy specify minimum malus and clawback periods?</w:t>
      </w:r>
    </w:p>
    <w:p>
      <w:pPr>
        <w:spacing w:after="100"/>
      </w:pPr>
      <w:r>
        <w:rPr>
          <w:rFonts w:ascii="Arial" w:cs="Arial" w:eastAsia="Arial" w:hAnsi="Arial"/>
          <w:sz w:val="20"/>
          <w:szCs w:val="20"/>
        </w:rPr>
        <w:t xml:space="preserve">☐  Do we have wording explaining why those periods are appropriate?</w:t>
      </w:r>
    </w:p>
    <w:p>
      <w:pPr>
        <w:spacing w:after="100"/>
      </w:pPr>
      <w:r>
        <w:rPr>
          <w:rFonts w:ascii="Arial" w:cs="Arial" w:eastAsia="Arial" w:hAnsi="Arial"/>
          <w:sz w:val="20"/>
          <w:szCs w:val="20"/>
        </w:rPr>
        <w:t xml:space="preserve">☐  Has the Remuneration Committee reviewed the policy against Code 2024 Section 5 requirements?</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Board Effectiveness</w:t>
      </w:r>
    </w:p>
    <w:p>
      <w:pPr>
        <w:spacing w:after="100"/>
      </w:pPr>
      <w:r>
        <w:rPr>
          <w:rFonts w:ascii="Arial" w:cs="Arial" w:eastAsia="Arial" w:hAnsi="Arial"/>
          <w:sz w:val="20"/>
          <w:szCs w:val="20"/>
        </w:rPr>
        <w:t xml:space="preserve">☐  Do we have a current and documented board skills matrix?</w:t>
      </w:r>
    </w:p>
    <w:p>
      <w:pPr>
        <w:spacing w:after="100"/>
      </w:pPr>
      <w:r>
        <w:rPr>
          <w:rFonts w:ascii="Arial" w:cs="Arial" w:eastAsia="Arial" w:hAnsi="Arial"/>
          <w:sz w:val="20"/>
          <w:szCs w:val="20"/>
        </w:rPr>
        <w:t xml:space="preserve">☐  Have we scheduled our next external board effectiveness evaluation (FTSE 350: at least every 3 years)?</w:t>
      </w:r>
    </w:p>
    <w:p>
      <w:pPr>
        <w:spacing w:after="100"/>
      </w:pPr>
      <w:r>
        <w:rPr>
          <w:rFonts w:ascii="Arial" w:cs="Arial" w:eastAsia="Arial" w:hAnsi="Arial"/>
          <w:sz w:val="20"/>
          <w:szCs w:val="20"/>
        </w:rPr>
        <w:t xml:space="preserve">☐  Is there a documented succession plan for key board and executive roles?</w:t>
      </w:r>
    </w:p>
    <w:p>
      <w:pPr>
        <w:pStyle w:val="Heading1"/>
        <w:pageBreakBefore/>
      </w:pPr>
      <w:r>
        <w:rPr>
          <w:rFonts w:ascii="Arial" w:cs="Arial" w:eastAsia="Arial" w:hAnsi="Arial"/>
          <w:b/>
          <w:bCs/>
          <w:color w:val="1A2744"/>
          <w:sz w:val="32"/>
          <w:szCs w:val="32"/>
        </w:rPr>
        <w:t xml:space="preserve">5. Malus and Clawback Disclosure Template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TEMPLATE — FOR ADAPTATION BY COMPANY LEGAL/REMUNERATION ADVISERS. This template is indicative only and must be reviewed against your specific remuneration policy and legal advice.</w:t>
            </w:r>
          </w:p>
        </w:tc>
      </w:tr>
    </w:tbl>
    <w:p>
      <w:pPr>
        <w:spacing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438"/>
      </w:tblGrid>
      <w:tr>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Element</w:t>
            </w:r>
          </w:p>
        </w:tc>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Minimum Period</w:t>
            </w:r>
          </w:p>
        </w:tc>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Triggering Events</w:t>
            </w:r>
          </w:p>
        </w:tc>
        <w:tc>
          <w:tcPr>
            <w:tcW w:type="dxa" w:w="24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Rationale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Annual Bonus — Malus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 years from award date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Material misstatement; misconduct; regulatory censure; risk failure; corporate failure</w:t>
            </w:r>
          </w:p>
        </w:tc>
        <w:tc>
          <w:tcPr>
            <w:tcW w:type="dxa" w:w="2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Aligned to period during which bonus performance conditions can be fully assessed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Annual Bonus — Clawback</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 years post-payment</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As above plus: serious reputational damage; fraud</w:t>
            </w:r>
          </w:p>
        </w:tc>
        <w:tc>
          <w:tcPr>
            <w:tcW w:type="dxa" w:w="2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Reflects period during which payment consequences can be assessed post-event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LTIP — Malus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 years from grant date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As annual bonus malus triggers above</w:t>
            </w:r>
          </w:p>
        </w:tc>
        <w:tc>
          <w:tcPr>
            <w:tcW w:type="dxa" w:w="2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Covers full performance and vesting period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LTIP — Clawback</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 years post-vesting</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As annual bonus clawback triggers above</w:t>
            </w:r>
          </w:p>
        </w:tc>
        <w:tc>
          <w:tcPr>
            <w:tcW w:type="dxa" w:w="2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Consistent with institutional investor expectations and UK Corporate Governance Code 2024</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Discretion Provisions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N/A</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Remuneration Committee retains discretion to extend periods or apply arrangements beyond minimum periods in exceptional circumstances</w:t>
            </w:r>
          </w:p>
        </w:tc>
        <w:tc>
          <w:tcPr>
            <w:tcW w:type="dxa" w:w="2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Ensures flexibility for unanticipated circumstances</w:t>
            </w:r>
          </w:p>
        </w:tc>
      </w:tr>
    </w:tbl>
    <w:p>
      <w:pPr>
        <w:pStyle w:val="Heading1"/>
        <w:pageBreakBefore/>
      </w:pPr>
      <w:r>
        <w:rPr>
          <w:rFonts w:ascii="Arial" w:cs="Arial" w:eastAsia="Arial" w:hAnsi="Arial"/>
          <w:b/>
          <w:bCs/>
          <w:color w:val="1A2744"/>
          <w:sz w:val="32"/>
          <w:szCs w:val="32"/>
        </w:rPr>
        <w:t xml:space="preserve">6. Implementation Timeline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3619"/>
        <w:gridCol w:w="3619"/>
      </w:tblGrid>
      <w:tr>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Period</w:t>
            </w:r>
          </w:p>
        </w:tc>
        <w:tc>
          <w:tcPr>
            <w:tcW w:type="dxa" w:w="36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Action</w:t>
            </w:r>
          </w:p>
        </w:tc>
        <w:tc>
          <w:tcPr>
            <w:tcW w:type="dxa" w:w="36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Owner / Output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Q1 2026</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Scope material controls across all four FRC categories. Commission controls framework project.</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Board / Audit Committee. Output: agreed scope document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Q2 2026</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Controls framework mapping and gap analysis. Identify any material control weaknesses.</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Management / Internal Audit. Output: controls framework document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Q3 2026</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Internal audit review of controls framework. Management attestation process piloted.</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Internal Audit. Output: internal audit report on controls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Q4 2026</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Board review and sign-off on controls framework. Audit Committee receives final internal audit report.</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Board / Audit Committee. Output: board minutes confirming review</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FY End 2026</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First controls assessment period complete. Management prepares controls effectiveness report for board.</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CFO / Management. Output: controls effectiveness report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Q1-Q2 2027</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Draft Provision 29 declaration prepared for Annual Report. Legal and audit adviser review.</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Company Secretary / Legal Advisers. Output: draft declaration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Annual Report 2027</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First public Provision 29 declaration published in Annual Report.</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Board. Output: Annual Report 2027</w:t>
            </w:r>
          </w:p>
        </w:tc>
      </w:tr>
    </w:tbl>
    <w:p>
      <w:pPr>
        <w:pStyle w:val="Heading1"/>
        <w:pageBreakBefore/>
      </w:pPr>
      <w:r>
        <w:rPr>
          <w:rFonts w:ascii="Arial" w:cs="Arial" w:eastAsia="Arial" w:hAnsi="Arial"/>
          <w:b/>
          <w:bCs/>
          <w:color w:val="1A2744"/>
          <w:sz w:val="32"/>
          <w:szCs w:val="32"/>
        </w:rPr>
        <w:t xml:space="preserve">7. Board Questions to Ask Management</w:t>
      </w:r>
    </w:p>
    <w:p>
      <w:pPr>
        <w:spacing w:after="160"/>
      </w:pPr>
      <w:r>
        <w:rPr>
          <w:rFonts w:ascii="Arial" w:cs="Arial" w:eastAsia="Arial" w:hAnsi="Arial"/>
          <w:b/>
          <w:bCs/>
          <w:sz w:val="20"/>
          <w:szCs w:val="20"/>
        </w:rPr>
        <w:t xml:space="preserve">The following questions should be put to management and the Audit Committee as part of the board's Provision 29 preparation process.</w:t>
      </w:r>
    </w:p>
    <w:p>
      <w:pPr>
        <w:spacing w:after="160"/>
      </w:pPr>
      <w:r>
        <w:rPr>
          <w:rFonts w:ascii="Arial" w:cs="Arial" w:eastAsia="Arial" w:hAnsi="Arial"/>
          <w:sz w:val="20"/>
          <w:szCs w:val="20"/>
        </w:rPr>
        <w:t xml:space="preserve"/>
      </w:r>
    </w:p>
    <w:p>
      <w:pPr>
        <w:pStyle w:val="ListParagraph"/>
        <w:numPr>
          <w:ilvl w:val="0"/>
          <w:numId w:val="2"/>
        </w:numPr>
      </w:pPr>
      <w:r>
        <w:rPr>
          <w:rFonts w:ascii="Arial" w:cs="Arial" w:eastAsia="Arial" w:hAnsi="Arial"/>
          <w:sz w:val="20"/>
          <w:szCs w:val="20"/>
        </w:rPr>
        <w:t xml:space="preserve">1. Have we formally scoped our 'material controls' to cover all four FRC categories — not just financial reporting controls?</w:t>
      </w:r>
    </w:p>
    <w:p>
      <w:pPr>
        <w:pStyle w:val="ListParagraph"/>
        <w:numPr>
          <w:ilvl w:val="0"/>
          <w:numId w:val="2"/>
        </w:numPr>
      </w:pPr>
      <w:r>
        <w:rPr>
          <w:rFonts w:ascii="Arial" w:cs="Arial" w:eastAsia="Arial" w:hAnsi="Arial"/>
          <w:sz w:val="20"/>
          <w:szCs w:val="20"/>
        </w:rPr>
        <w:t xml:space="preserve">2. What is the current state of our controls documentation? Do we have a controls framework or register that the board can review?</w:t>
      </w:r>
    </w:p>
    <w:p>
      <w:pPr>
        <w:pStyle w:val="ListParagraph"/>
        <w:numPr>
          <w:ilvl w:val="0"/>
          <w:numId w:val="2"/>
        </w:numPr>
      </w:pPr>
      <w:r>
        <w:rPr>
          <w:rFonts w:ascii="Arial" w:cs="Arial" w:eastAsia="Arial" w:hAnsi="Arial"/>
          <w:sz w:val="20"/>
          <w:szCs w:val="20"/>
        </w:rPr>
        <w:t xml:space="preserve">3. What gaps exist between our current controls documentation and the FRC's Provision 29 requirements?</w:t>
      </w:r>
    </w:p>
    <w:p>
      <w:pPr>
        <w:pStyle w:val="ListParagraph"/>
        <w:numPr>
          <w:ilvl w:val="0"/>
          <w:numId w:val="2"/>
        </w:numPr>
      </w:pPr>
      <w:r>
        <w:rPr>
          <w:rFonts w:ascii="Arial" w:cs="Arial" w:eastAsia="Arial" w:hAnsi="Arial"/>
          <w:sz w:val="20"/>
          <w:szCs w:val="20"/>
        </w:rPr>
        <w:t xml:space="preserve">4. How will the management attestation process work — who will sign off controls in their area, and how will this feed into the board declaration?</w:t>
      </w:r>
    </w:p>
    <w:p>
      <w:pPr>
        <w:pStyle w:val="ListParagraph"/>
        <w:numPr>
          <w:ilvl w:val="0"/>
          <w:numId w:val="2"/>
        </w:numPr>
      </w:pPr>
      <w:r>
        <w:rPr>
          <w:rFonts w:ascii="Arial" w:cs="Arial" w:eastAsia="Arial" w:hAnsi="Arial"/>
          <w:sz w:val="20"/>
          <w:szCs w:val="20"/>
        </w:rPr>
        <w:t xml:space="preserve">5. Is internal audit resourced and scoped to provide adequate coverage of material controls ahead of the FY2026 assessment?</w:t>
      </w:r>
    </w:p>
    <w:p>
      <w:pPr>
        <w:pStyle w:val="ListParagraph"/>
        <w:numPr>
          <w:ilvl w:val="0"/>
          <w:numId w:val="2"/>
        </w:numPr>
      </w:pPr>
      <w:r>
        <w:rPr>
          <w:rFonts w:ascii="Arial" w:cs="Arial" w:eastAsia="Arial" w:hAnsi="Arial"/>
          <w:sz w:val="20"/>
          <w:szCs w:val="20"/>
        </w:rPr>
        <w:t xml:space="preserve">6. What is our external auditor's view of our current controls framework? Have we engaged them on our Provision 29 approach?</w:t>
      </w:r>
    </w:p>
    <w:p>
      <w:pPr>
        <w:pStyle w:val="ListParagraph"/>
        <w:numPr>
          <w:ilvl w:val="0"/>
          <w:numId w:val="2"/>
        </w:numPr>
      </w:pPr>
      <w:r>
        <w:rPr>
          <w:rFonts w:ascii="Arial" w:cs="Arial" w:eastAsia="Arial" w:hAnsi="Arial"/>
          <w:sz w:val="20"/>
          <w:szCs w:val="20"/>
        </w:rPr>
        <w:t xml:space="preserve">7. Have we reviewed our remuneration policy against the new malus/clawback disclosure requirements in Code 2024 Section 5?</w:t>
      </w:r>
    </w:p>
    <w:p>
      <w:pPr>
        <w:pStyle w:val="ListParagraph"/>
        <w:numPr>
          <w:ilvl w:val="0"/>
          <w:numId w:val="2"/>
        </w:numPr>
      </w:pPr>
      <w:r>
        <w:rPr>
          <w:rFonts w:ascii="Arial" w:cs="Arial" w:eastAsia="Arial" w:hAnsi="Arial"/>
          <w:sz w:val="20"/>
          <w:szCs w:val="20"/>
        </w:rPr>
        <w:t xml:space="preserve">8. When will the Remuneration Committee bring a recommendation on minimum malus/clawback periods to the board for approval?</w:t>
      </w:r>
    </w:p>
    <w:p>
      <w:pPr>
        <w:pStyle w:val="ListParagraph"/>
        <w:numPr>
          <w:ilvl w:val="0"/>
          <w:numId w:val="2"/>
        </w:numPr>
      </w:pPr>
      <w:r>
        <w:rPr>
          <w:rFonts w:ascii="Arial" w:cs="Arial" w:eastAsia="Arial" w:hAnsi="Arial"/>
          <w:sz w:val="20"/>
          <w:szCs w:val="20"/>
        </w:rPr>
        <w:t xml:space="preserve">9. What board evaluation is planned for the current year, and does it include an assessment of board skills and succession planning?</w:t>
      </w:r>
    </w:p>
    <w:p>
      <w:pPr>
        <w:pStyle w:val="ListParagraph"/>
        <w:numPr>
          <w:ilvl w:val="0"/>
          <w:numId w:val="2"/>
        </w:numPr>
      </w:pPr>
      <w:r>
        <w:rPr>
          <w:rFonts w:ascii="Arial" w:cs="Arial" w:eastAsia="Arial" w:hAnsi="Arial"/>
          <w:sz w:val="20"/>
          <w:szCs w:val="20"/>
        </w:rPr>
        <w:t xml:space="preserve">10. Is there a clear board calendar for FY2026 that includes Provision 29 milestones, management attestation dates, and the Audit Committee's oversight schedule?</w:t>
      </w:r>
    </w:p>
    <w:p>
      <w:pPr>
        <w:pStyle w:val="Heading1"/>
        <w:pageBreakBefore/>
      </w:pPr>
      <w:r>
        <w:rPr>
          <w:rFonts w:ascii="Arial" w:cs="Arial" w:eastAsia="Arial" w:hAnsi="Arial"/>
          <w:b/>
          <w:bCs/>
          <w:color w:val="1A2744"/>
          <w:sz w:val="32"/>
          <w:szCs w:val="32"/>
        </w:rPr>
        <w:t xml:space="preserve">8. Key Regulatory References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c>
          <w:tcPr>
            <w:tcW w:type="dxa" w:w="32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Reference</w:t>
            </w:r>
          </w:p>
        </w:tc>
        <w:tc>
          <w:tcPr>
            <w:tcW w:type="dxa" w:w="64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Relevance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UK Corporate Governance Code 2024</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primary Code document — all provisions apply to financial years beginning on or after 1 January 2025. Provision 29 has staggered start: FY beginning on or after 1 January 2026.</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FRC Guidance Note — January 2024</w:t>
            </w:r>
          </w:p>
        </w:tc>
        <w:tc>
          <w:tcPr>
            <w:tcW w:type="dxa" w:w="6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FRC's consolidated guidance supporting the Code 2024. Defines 'material controls' and provides guidance on Provision 29 implementation. Replaces earlier standalone guidance documents.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Audit Committees and the External Audit: Minimum Standard</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Published by the FRC separately from the Code. Sets baseline expectations for audit committees of premium-listed companies, including on the Provision 29 process.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FCA Listing Rules (UKLR)</w:t>
            </w:r>
          </w:p>
        </w:tc>
        <w:tc>
          <w:tcPr>
            <w:tcW w:type="dxa" w:w="6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FCA's UK Listing Rules require compliance with the UK Corporate Governance Code for premium-listed companies, including disclosure of compliance on a comply-or-explain basis.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DTR 7.2</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Disclosure Guidance and Transparency Rules — requires the corporate governance statement in the Annual Report, including description of internal controls and risk management systems.</w:t>
            </w:r>
          </w:p>
        </w:tc>
      </w:tr>
    </w:tbl>
    <w:p>
      <w:pPr>
        <w:pStyle w:val="Heading1"/>
        <w:pageBreakBefore/>
      </w:pPr>
      <w:r>
        <w:rPr>
          <w:rFonts w:ascii="Arial" w:cs="Arial" w:eastAsia="Arial" w:hAnsi="Arial"/>
          <w:b/>
          <w:bCs/>
          <w:color w:val="1A2744"/>
          <w:sz w:val="32"/>
          <w:szCs w:val="32"/>
        </w:rPr>
        <w:t xml:space="preserve">9. About INFORMD</w:t>
      </w:r>
    </w:p>
    <w:p>
      <w:pPr>
        <w:spacing w:after="160"/>
      </w:pPr>
      <w:r>
        <w:rPr>
          <w:rFonts w:ascii="Arial" w:cs="Arial" w:eastAsia="Arial" w:hAnsi="Arial"/>
          <w:sz w:val="20"/>
          <w:szCs w:val="20"/>
        </w:rPr>
        <w:t xml:space="preserve">INFORMD provides executive intelligence briefings, tools and frameworks for UK senior business leaders navigating regulatory change. Based in Milton Keynes, UK, INFORMD helps boards and executive teams stay ahead of regulatory change — not catch up with it.</w:t>
      </w:r>
    </w:p>
    <w:p>
      <w:pPr>
        <w:spacing w:after="160"/>
      </w:pPr>
      <w:r>
        <w:rPr>
          <w:rFonts w:ascii="Arial" w:cs="Arial" w:eastAsia="Arial" w:hAnsi="Arial"/>
          <w:sz w:val="20"/>
          <w:szCs w:val="20"/>
        </w:rPr>
        <w:t xml:space="preserve">Explore our full briefing library: informd.co.uk/resources</w:t>
      </w:r>
    </w:p>
    <w:p>
      <w:pPr>
        <w:spacing w:after="160"/>
      </w:pPr>
      <w:r>
        <w:rPr>
          <w:rFonts w:ascii="Arial" w:cs="Arial" w:eastAsia="Arial" w:hAnsi="Arial"/>
          <w:sz w:val="20"/>
          <w:szCs w:val="20"/>
        </w:rPr>
        <w:t xml:space="preserve">Free assessment tools: informd.co.uk/tools-assessments</w:t>
      </w:r>
    </w:p>
    <w:p>
      <w:pPr>
        <w:spacing w:after="160"/>
      </w:pPr>
      <w:r>
        <w:rPr>
          <w:rFonts w:ascii="Arial" w:cs="Arial" w:eastAsia="Arial" w:hAnsi="Arial"/>
          <w:sz w:val="20"/>
          <w:szCs w:val="20"/>
        </w:rPr>
        <w:t xml:space="preserve"/>
      </w:r>
    </w:p>
    <w:p>
      <w:pPr>
        <w:spacing w:after="160"/>
      </w:pPr>
      <w:r>
        <w:rPr>
          <w:rFonts w:ascii="Arial" w:cs="Arial" w:eastAsia="Arial" w:hAnsi="Arial"/>
          <w:i/>
          <w:iCs/>
          <w:color w:val="666666"/>
          <w:sz w:val="20"/>
          <w:szCs w:val="20"/>
        </w:rPr>
        <w:t xml:space="preserve">This document is provided for informational purposes only. It does not constitute legal advice. Legislation and regulatory rules are subject to change. Always verify current requirements with your legal and compliance advisers.</w:t>
      </w:r>
    </w:p>
    <w:sectPr>
      <w:headerReference w:type="default" r:id="rId9"/>
      <w:footerReference w:type="default" r:id="rId10"/>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UK Corporate Governance Code 2024 — Board Implementation Pack</w:t>
    </w:r>
    <w:r>
      <w:rPr>
        <w:rFonts w:ascii="Arial" w:cs="Arial" w:eastAsia="Arial" w:hAnsi="Arial"/>
        <w:color w:val="1A2744"/>
        <w:sz w:val="18"/>
        <w:szCs w:val="18"/>
      </w:rPr>
      <w:t xml:space="preserve">		informd.co.uk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UK Corporate Governance Code 2024 — Board Implementation Pack</w:t>
    </w:r>
    <w:r>
      <w:rPr>
        <w:rFonts w:ascii="Arial" w:cs="Arial" w:eastAsia="Arial" w:hAnsi="Arial"/>
        <w:color w:val="1A2744"/>
        <w:sz w:val="18"/>
        <w:szCs w:val="18"/>
      </w:rPr>
      <w:t xml:space="preserve">		informd.co.uk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2744"/>
      <w:sz w:val="32"/>
      <w:szCs w:val="32"/>
    </w:rPr>
  </w:style>
  <w:style w:type="paragraph" w:styleId="Heading2">
    <w:name w:val="Heading 2"/>
    <w:basedOn w:val="Normal"/>
    <w:next w:val="Normal"/>
    <w:qFormat/>
    <w:pPr>
      <w:spacing w:after="180" w:before="180"/>
      <w:outlineLvl w:val="1"/>
    </w:pPr>
    <w:rPr>
      <w:rFonts w:ascii="Arial" w:cs="Arial" w:eastAsia="Arial" w:hAnsi="Arial"/>
      <w:b/>
      <w:bCs/>
      <w:color w:val="1A27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2026-07-02T22:22:52.297Z</dcterms:created>
  <dcterms:modified xsi:type="dcterms:W3CDTF">2026-07-02T22:22:52.297Z</dcterms:modified>
</cp:coreProperties>
</file>

<file path=docProps/custom.xml><?xml version="1.0" encoding="utf-8"?>
<Properties xmlns="http://schemas.openxmlformats.org/officeDocument/2006/custom-properties" xmlns:vt="http://schemas.openxmlformats.org/officeDocument/2006/docPropsVTypes"/>
</file>