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before="2880"/>
      </w:pPr>
      <w:r>
        <w:rPr>
          <w:rFonts w:ascii="Arial" w:cs="Arial" w:eastAsia="Arial" w:hAnsi="Arial"/>
          <w:b/>
          <w:bCs/>
          <w:color w:val="1A2744"/>
          <w:sz w:val="72"/>
          <w:szCs w:val="72"/>
        </w:rPr>
        <w:t xml:space="preserve">INFORMD</w:t>
      </w:r>
    </w:p>
    <w:p>
      <w:pPr>
        <w:spacing w:after="240"/>
      </w:pPr>
      <w:r>
        <w:rPr>
          <w:rFonts w:ascii="Arial" w:cs="Arial" w:eastAsia="Arial" w:hAnsi="Arial"/>
          <w:i/>
          <w:iCs/>
          <w:color w:val="444444"/>
          <w:sz w:val="32"/>
          <w:szCs w:val="32"/>
        </w:rPr>
        <w:t xml:space="preserve">Executive Intelligence Briefings</w:t>
      </w:r>
    </w:p>
    <w:p>
      <w:pPr>
        <w:spacing w:after="960"/>
      </w:pPr>
      <w:r>
        <w:rPr>
          <w:rFonts w:ascii="Arial" w:cs="Arial" w:eastAsia="Arial" w:hAnsi="Arial"/>
          <w:sz w:val="20"/>
          <w:szCs w:val="20"/>
        </w:rPr>
        <w:t xml:space="preserve"/>
      </w:r>
    </w:p>
    <w:p>
      <w:pPr>
        <w:pBdr>
          <w:top w:val="single" w:color="1A2744" w:sz="12"/>
        </w:pBdr>
        <w:spacing w:after="240" w:before="240"/>
      </w:pPr>
      <w:r>
        <w:rPr>
          <w:rFonts w:ascii="Arial" w:cs="Arial" w:eastAsia="Arial" w:hAnsi="Arial"/>
          <w:sz w:val="20"/>
          <w:szCs w:val="20"/>
        </w:rPr>
        <w:t xml:space="preserve"/>
      </w:r>
    </w:p>
    <w:p>
      <w:pPr>
        <w:spacing w:after="480"/>
      </w:pPr>
      <w:r>
        <w:rPr>
          <w:rFonts w:ascii="Arial" w:cs="Arial" w:eastAsia="Arial" w:hAnsi="Arial"/>
          <w:b/>
          <w:bCs/>
          <w:color w:val="1A2744"/>
          <w:sz w:val="52"/>
          <w:szCs w:val="52"/>
        </w:rPr>
        <w:t xml:space="preserve">AI Risk Appetite — Board Policy Template and Briefing</w:t>
      </w:r>
    </w:p>
    <w:p>
      <w:pPr>
        <w:spacing w:after="240"/>
      </w:pPr>
      <w:r>
        <w:rPr>
          <w:rFonts w:ascii="Arial" w:cs="Arial" w:eastAsia="Arial" w:hAnsi="Arial"/>
          <w:color w:val="444444"/>
          <w:sz w:val="24"/>
          <w:szCs w:val="24"/>
        </w:rPr>
        <w:t xml:space="preserve">For: Boards, NEDs, CROs, CIOs, General Counsel across all sectors</w:t>
      </w:r>
    </w:p>
    <w:p>
      <w:pPr>
        <w:spacing w:after="240"/>
      </w:pPr>
      <w:r>
        <w:rPr>
          <w:rFonts w:ascii="Arial" w:cs="Arial" w:eastAsia="Arial" w:hAnsi="Arial"/>
          <w:color w:val="444444"/>
          <w:sz w:val="24"/>
          <w:szCs w:val="24"/>
        </w:rPr>
        <w:t xml:space="preserve">July 2026</w:t>
      </w:r>
    </w:p>
    <w:p>
      <w:pPr>
        <w:spacing w:after="120" w:before="2880"/>
      </w:pPr>
      <w:r>
        <w:rPr>
          <w:rFonts w:ascii="Arial" w:cs="Arial" w:eastAsia="Arial" w:hAnsi="Arial"/>
          <w:color w:val="888888"/>
          <w:sz w:val="20"/>
          <w:szCs w:val="20"/>
        </w:rPr>
        <w:t xml:space="preserve">informd.co.uk</w:t>
      </w:r>
    </w:p>
    <w:p>
      <w:r>
        <w:rPr>
          <w:rFonts w:ascii="Arial" w:cs="Arial" w:eastAsia="Arial" w:hAnsi="Arial"/>
          <w:i/>
          <w:iCs/>
          <w:color w:val="888888"/>
          <w:sz w:val="16"/>
          <w:szCs w:val="16"/>
        </w:rPr>
        <w:t xml:space="preserve">This document is provided for informational purposes only. It does not constitute legal advice. Always verify current requirements with your legal and compliance advisers.</w:t>
      </w:r>
    </w:p>
    <w:p>
      <w:pPr>
        <w:sectPr>
          <w:pgSz w:w="11906" w:h="16838" w:orient="portrait"/>
          <w:pgMar w:top="1134" w:right="1134" w:bottom="1134" w:left="1134" w:header="708" w:footer="708" w:gutter="0"/>
          <w:pgNumType/>
          <w:docGrid w:linePitch="360"/>
        </w:sectPr>
      </w:pPr>
    </w:p>
    <w:p>
      <w:pPr>
        <w:pStyle w:val="Heading1"/>
        <w:pageBreakBefore/>
      </w:pPr>
      <w:r>
        <w:rPr>
          <w:rFonts w:ascii="Arial" w:cs="Arial" w:eastAsia="Arial" w:hAnsi="Arial"/>
          <w:b/>
          <w:bCs/>
          <w:color w:val="1A2744"/>
          <w:sz w:val="32"/>
          <w:szCs w:val="32"/>
        </w:rPr>
        <w:t xml:space="preserve">Contents</w:t>
      </w:r>
    </w:p>
    <w:p>
      <w:pPr>
        <w:tabs>
          <w:tab w:val="right" w:pos="9638"/>
        </w:tabs>
        <w:spacing w:after="160"/>
      </w:pPr>
      <w:r>
        <w:rPr>
          <w:rFonts w:ascii="Arial" w:cs="Arial" w:eastAsia="Arial" w:hAnsi="Arial"/>
          <w:sz w:val="20"/>
          <w:szCs w:val="20"/>
        </w:rPr>
        <w:t xml:space="preserve">1.  Executive Summary</w:t>
      </w:r>
      <w:r>
        <w:rPr>
          <w:rFonts w:ascii="Arial" w:cs="Arial" w:eastAsia="Arial" w:hAnsi="Arial"/>
          <w:sz w:val="20"/>
          <w:szCs w:val="20"/>
        </w:rPr>
        <w:t xml:space="preserve">	3</w:t>
      </w:r>
    </w:p>
    <w:p>
      <w:pPr>
        <w:tabs>
          <w:tab w:val="right" w:pos="9638"/>
        </w:tabs>
        <w:spacing w:after="160"/>
      </w:pPr>
      <w:r>
        <w:rPr>
          <w:rFonts w:ascii="Arial" w:cs="Arial" w:eastAsia="Arial" w:hAnsi="Arial"/>
          <w:sz w:val="20"/>
          <w:szCs w:val="20"/>
        </w:rPr>
        <w:t xml:space="preserve">2.  Why Boards Must Own AI Risk Appetite</w:t>
      </w:r>
      <w:r>
        <w:rPr>
          <w:rFonts w:ascii="Arial" w:cs="Arial" w:eastAsia="Arial" w:hAnsi="Arial"/>
          <w:sz w:val="20"/>
          <w:szCs w:val="20"/>
        </w:rPr>
        <w:t xml:space="preserve">	4</w:t>
      </w:r>
    </w:p>
    <w:p>
      <w:pPr>
        <w:tabs>
          <w:tab w:val="right" w:pos="9638"/>
        </w:tabs>
        <w:spacing w:after="160"/>
      </w:pPr>
      <w:r>
        <w:rPr>
          <w:rFonts w:ascii="Arial" w:cs="Arial" w:eastAsia="Arial" w:hAnsi="Arial"/>
          <w:sz w:val="20"/>
          <w:szCs w:val="20"/>
        </w:rPr>
        <w:t xml:space="preserve">3.  AI Risk Taxonomy for Boards</w:t>
      </w:r>
      <w:r>
        <w:rPr>
          <w:rFonts w:ascii="Arial" w:cs="Arial" w:eastAsia="Arial" w:hAnsi="Arial"/>
          <w:sz w:val="20"/>
          <w:szCs w:val="20"/>
        </w:rPr>
        <w:t xml:space="preserve">	5</w:t>
      </w:r>
    </w:p>
    <w:p>
      <w:pPr>
        <w:tabs>
          <w:tab w:val="right" w:pos="9638"/>
        </w:tabs>
        <w:spacing w:after="160"/>
      </w:pPr>
      <w:r>
        <w:rPr>
          <w:rFonts w:ascii="Arial" w:cs="Arial" w:eastAsia="Arial" w:hAnsi="Arial"/>
          <w:sz w:val="20"/>
          <w:szCs w:val="20"/>
        </w:rPr>
        <w:t xml:space="preserve">4.  AI Risk Appetite Statement Template</w:t>
      </w:r>
      <w:r>
        <w:rPr>
          <w:rFonts w:ascii="Arial" w:cs="Arial" w:eastAsia="Arial" w:hAnsi="Arial"/>
          <w:sz w:val="20"/>
          <w:szCs w:val="20"/>
        </w:rPr>
        <w:t xml:space="preserve">	7</w:t>
      </w:r>
    </w:p>
    <w:p>
      <w:pPr>
        <w:tabs>
          <w:tab w:val="right" w:pos="9638"/>
        </w:tabs>
        <w:spacing w:after="160"/>
      </w:pPr>
      <w:r>
        <w:rPr>
          <w:rFonts w:ascii="Arial" w:cs="Arial" w:eastAsia="Arial" w:hAnsi="Arial"/>
          <w:sz w:val="20"/>
          <w:szCs w:val="20"/>
        </w:rPr>
        <w:t xml:space="preserve">5.  AI Governance Framework</w:t>
      </w:r>
      <w:r>
        <w:rPr>
          <w:rFonts w:ascii="Arial" w:cs="Arial" w:eastAsia="Arial" w:hAnsi="Arial"/>
          <w:sz w:val="20"/>
          <w:szCs w:val="20"/>
        </w:rPr>
        <w:t xml:space="preserve">	10</w:t>
      </w:r>
    </w:p>
    <w:p>
      <w:pPr>
        <w:tabs>
          <w:tab w:val="right" w:pos="9638"/>
        </w:tabs>
        <w:spacing w:after="160"/>
      </w:pPr>
      <w:r>
        <w:rPr>
          <w:rFonts w:ascii="Arial" w:cs="Arial" w:eastAsia="Arial" w:hAnsi="Arial"/>
          <w:sz w:val="20"/>
          <w:szCs w:val="20"/>
        </w:rPr>
        <w:t xml:space="preserve">6.  High-Risk AI — What Requires Board Attention</w:t>
      </w:r>
      <w:r>
        <w:rPr>
          <w:rFonts w:ascii="Arial" w:cs="Arial" w:eastAsia="Arial" w:hAnsi="Arial"/>
          <w:sz w:val="20"/>
          <w:szCs w:val="20"/>
        </w:rPr>
        <w:t xml:space="preserve">	11</w:t>
      </w:r>
    </w:p>
    <w:p>
      <w:pPr>
        <w:tabs>
          <w:tab w:val="right" w:pos="9638"/>
        </w:tabs>
        <w:spacing w:after="160"/>
      </w:pPr>
      <w:r>
        <w:rPr>
          <w:rFonts w:ascii="Arial" w:cs="Arial" w:eastAsia="Arial" w:hAnsi="Arial"/>
          <w:sz w:val="20"/>
          <w:szCs w:val="20"/>
        </w:rPr>
        <w:t xml:space="preserve">7.  Board Questions on AI Risk</w:t>
      </w:r>
      <w:r>
        <w:rPr>
          <w:rFonts w:ascii="Arial" w:cs="Arial" w:eastAsia="Arial" w:hAnsi="Arial"/>
          <w:sz w:val="20"/>
          <w:szCs w:val="20"/>
        </w:rPr>
        <w:t xml:space="preserve">	12</w:t>
      </w:r>
    </w:p>
    <w:p>
      <w:pPr>
        <w:tabs>
          <w:tab w:val="right" w:pos="9638"/>
        </w:tabs>
        <w:spacing w:after="160"/>
      </w:pPr>
      <w:r>
        <w:rPr>
          <w:rFonts w:ascii="Arial" w:cs="Arial" w:eastAsia="Arial" w:hAnsi="Arial"/>
          <w:sz w:val="20"/>
          <w:szCs w:val="20"/>
        </w:rPr>
        <w:t xml:space="preserve">8.  Implementation Roadmap</w:t>
      </w:r>
      <w:r>
        <w:rPr>
          <w:rFonts w:ascii="Arial" w:cs="Arial" w:eastAsia="Arial" w:hAnsi="Arial"/>
          <w:sz w:val="20"/>
          <w:szCs w:val="20"/>
        </w:rPr>
        <w:t xml:space="preserve">	13</w:t>
      </w:r>
    </w:p>
    <w:p>
      <w:pPr>
        <w:tabs>
          <w:tab w:val="right" w:pos="9638"/>
        </w:tabs>
        <w:spacing w:after="160"/>
      </w:pPr>
      <w:r>
        <w:rPr>
          <w:rFonts w:ascii="Arial" w:cs="Arial" w:eastAsia="Arial" w:hAnsi="Arial"/>
          <w:sz w:val="20"/>
          <w:szCs w:val="20"/>
        </w:rPr>
        <w:t xml:space="preserve">9.  Key References</w:t>
      </w:r>
      <w:r>
        <w:rPr>
          <w:rFonts w:ascii="Arial" w:cs="Arial" w:eastAsia="Arial" w:hAnsi="Arial"/>
          <w:sz w:val="20"/>
          <w:szCs w:val="20"/>
        </w:rPr>
        <w:t xml:space="preserve">	14</w:t>
      </w:r>
    </w:p>
    <w:p>
      <w:pPr>
        <w:tabs>
          <w:tab w:val="right" w:pos="9638"/>
        </w:tabs>
        <w:spacing w:after="160"/>
      </w:pPr>
      <w:r>
        <w:rPr>
          <w:rFonts w:ascii="Arial" w:cs="Arial" w:eastAsia="Arial" w:hAnsi="Arial"/>
          <w:sz w:val="20"/>
          <w:szCs w:val="20"/>
        </w:rPr>
        <w:t xml:space="preserve">10.  About INFORMD</w:t>
      </w:r>
      <w:r>
        <w:rPr>
          <w:rFonts w:ascii="Arial" w:cs="Arial" w:eastAsia="Arial" w:hAnsi="Arial"/>
          <w:sz w:val="20"/>
          <w:szCs w:val="20"/>
        </w:rPr>
        <w:t xml:space="preserve">	15</w:t>
      </w:r>
    </w:p>
    <w:p>
      <w:pPr>
        <w:sectPr>
          <w:headerReference w:type="default" r:id="rId7"/>
          <w:footerReference w:type="default" r:id="rId8"/>
          <w:pgSz w:w="11906" w:h="16838" w:orient="portrait"/>
          <w:pgMar w:top="1134" w:right="1134" w:bottom="1134" w:left="1134" w:header="708" w:footer="708" w:gutter="0"/>
          <w:pgNumType/>
          <w:docGrid w:linePitch="360"/>
        </w:sectPr>
      </w:pPr>
    </w:p>
    <w:p>
      <w:pPr>
        <w:pStyle w:val="Heading1"/>
        <w:pageBreakBefore/>
      </w:pPr>
      <w:r>
        <w:rPr>
          <w:rFonts w:ascii="Arial" w:cs="Arial" w:eastAsia="Arial" w:hAnsi="Arial"/>
          <w:b/>
          <w:bCs/>
          <w:color w:val="1A2744"/>
          <w:sz w:val="32"/>
          <w:szCs w:val="32"/>
        </w:rPr>
        <w:t xml:space="preserve">1. Executive Summary</w:t>
      </w:r>
    </w:p>
    <w:p>
      <w:pPr>
        <w:spacing w:after="160"/>
      </w:pPr>
      <w:r>
        <w:rPr>
          <w:rFonts w:ascii="Arial" w:cs="Arial" w:eastAsia="Arial" w:hAnsi="Arial"/>
          <w:sz w:val="20"/>
          <w:szCs w:val="20"/>
        </w:rPr>
        <w:t xml:space="preserve">Boards across all sectors are increasingly being asked to formally define and approve an AI risk appetite. This is no longer a best practice aspiration — it is becoming a regulatory expectation.</w:t>
      </w:r>
    </w:p>
    <w:p>
      <w:pPr>
        <w:spacing w:after="160"/>
      </w:pPr>
      <w:r>
        <w:rPr>
          <w:rFonts w:ascii="Arial" w:cs="Arial" w:eastAsia="Arial" w:hAnsi="Arial"/>
          <w:sz w:val="20"/>
          <w:szCs w:val="20"/>
        </w:rPr>
        <w:t xml:space="preserve">The FCA, ICO, and FRC have all signalled that board-level AI governance is required, not optional. The EU AI Act imposes direct obligations on management bodies of firms in scope. The UK Government's AI Opportunities Action Plan sets out the direction of travel for UK AI governance.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1A2744" w:sz="1"/>
              <w:left w:val="single" w:color="1A2744" w:sz="1"/>
              <w:bottom w:val="single" w:color="1A2744" w:sz="1"/>
              <w:right w:val="single" w:color="1A2744" w:sz="1"/>
            </w:tcBorders>
            <w:shd w:fill="F2F2F2" w:val="clear"/>
            <w:tcMar>
              <w:top w:type="dxa" w:w="120"/>
              <w:left w:type="dxa" w:w="180"/>
              <w:bottom w:type="dxa" w:w="120"/>
              <w:right w:type="dxa" w:w="180"/>
            </w:tcMar>
          </w:tcPr>
          <w:p>
            <w:r>
              <w:rPr>
                <w:rFonts w:ascii="Arial" w:cs="Arial" w:eastAsia="Arial" w:hAnsi="Arial"/>
                <w:i/>
                <w:iCs/>
                <w:sz w:val="20"/>
                <w:szCs w:val="20"/>
              </w:rPr>
              <w:t xml:space="preserve">THE BOARD'S ROLE: AI risk appetite is not a management or IT matter. It is a board governance matter. The board sets the boundary conditions within which management deploys AI across the organisation — including which AI systems require board approval, which AI decisions require human oversight, and what the firm will not do with AI.</w:t>
            </w:r>
          </w:p>
        </w:tc>
      </w:tr>
    </w:tbl>
    <w:p>
      <w:pPr>
        <w:spacing w:after="160"/>
      </w:pPr>
      <w:r>
        <w:rPr>
          <w:rFonts w:ascii="Arial" w:cs="Arial" w:eastAsia="Arial" w:hAnsi="Arial"/>
          <w:sz w:val="20"/>
          <w:szCs w:val="20"/>
        </w:rPr>
        <w:t xml:space="preserve"/>
      </w:r>
    </w:p>
    <w:p>
      <w:pPr>
        <w:spacing w:after="160"/>
      </w:pPr>
      <w:r>
        <w:rPr>
          <w:rFonts w:ascii="Arial" w:cs="Arial" w:eastAsia="Arial" w:hAnsi="Arial"/>
          <w:sz w:val="20"/>
          <w:szCs w:val="20"/>
        </w:rPr>
        <w:t xml:space="preserve">This pack provides:</w:t>
      </w:r>
    </w:p>
    <w:p>
      <w:pPr>
        <w:pStyle w:val="ListParagraph"/>
        <w:numPr>
          <w:ilvl w:val="0"/>
          <w:numId w:val="2"/>
        </w:numPr>
      </w:pPr>
      <w:r>
        <w:rPr>
          <w:rFonts w:ascii="Arial" w:cs="Arial" w:eastAsia="Arial" w:hAnsi="Arial"/>
          <w:sz w:val="20"/>
          <w:szCs w:val="20"/>
        </w:rPr>
        <w:t xml:space="preserve">A briefing on why boards must own AI risk appetite, with the regulatory framework</w:t>
      </w:r>
    </w:p>
    <w:p>
      <w:pPr>
        <w:pStyle w:val="ListParagraph"/>
        <w:numPr>
          <w:ilvl w:val="0"/>
          <w:numId w:val="2"/>
        </w:numPr>
      </w:pPr>
      <w:r>
        <w:rPr>
          <w:rFonts w:ascii="Arial" w:cs="Arial" w:eastAsia="Arial" w:hAnsi="Arial"/>
          <w:sz w:val="20"/>
          <w:szCs w:val="20"/>
        </w:rPr>
        <w:t xml:space="preserve">A board-level AI risk taxonomy covering seven risk categories</w:t>
      </w:r>
    </w:p>
    <w:p>
      <w:pPr>
        <w:pStyle w:val="ListParagraph"/>
        <w:numPr>
          <w:ilvl w:val="0"/>
          <w:numId w:val="2"/>
        </w:numPr>
      </w:pPr>
      <w:r>
        <w:rPr>
          <w:rFonts w:ascii="Arial" w:cs="Arial" w:eastAsia="Arial" w:hAnsi="Arial"/>
          <w:sz w:val="20"/>
          <w:szCs w:val="20"/>
        </w:rPr>
        <w:t xml:space="preserve">A full AI Risk Appetite Statement template, ready for board adaptation and approval</w:t>
      </w:r>
    </w:p>
    <w:p>
      <w:pPr>
        <w:pStyle w:val="ListParagraph"/>
        <w:numPr>
          <w:ilvl w:val="0"/>
          <w:numId w:val="2"/>
        </w:numPr>
      </w:pPr>
      <w:r>
        <w:rPr>
          <w:rFonts w:ascii="Arial" w:cs="Arial" w:eastAsia="Arial" w:hAnsi="Arial"/>
          <w:sz w:val="20"/>
          <w:szCs w:val="20"/>
        </w:rPr>
        <w:t xml:space="preserve">The AI governance framework that sits below the board risk appetite</w:t>
      </w:r>
    </w:p>
    <w:p>
      <w:pPr>
        <w:pStyle w:val="ListParagraph"/>
        <w:numPr>
          <w:ilvl w:val="0"/>
          <w:numId w:val="2"/>
        </w:numPr>
      </w:pPr>
      <w:r>
        <w:rPr>
          <w:rFonts w:ascii="Arial" w:cs="Arial" w:eastAsia="Arial" w:hAnsi="Arial"/>
          <w:sz w:val="20"/>
          <w:szCs w:val="20"/>
        </w:rPr>
        <w:t xml:space="preserve">Guidance on high-risk AI requiring board attention</w:t>
      </w:r>
    </w:p>
    <w:p>
      <w:pPr>
        <w:pStyle w:val="ListParagraph"/>
        <w:numPr>
          <w:ilvl w:val="0"/>
          <w:numId w:val="2"/>
        </w:numPr>
      </w:pPr>
      <w:r>
        <w:rPr>
          <w:rFonts w:ascii="Arial" w:cs="Arial" w:eastAsia="Arial" w:hAnsi="Arial"/>
          <w:sz w:val="20"/>
          <w:szCs w:val="20"/>
        </w:rPr>
        <w:t xml:space="preserve">Board questions and an implementation roadmap</w:t>
      </w:r>
    </w:p>
    <w:p>
      <w:pPr>
        <w:pStyle w:val="Heading1"/>
        <w:pageBreakBefore/>
      </w:pPr>
      <w:r>
        <w:rPr>
          <w:rFonts w:ascii="Arial" w:cs="Arial" w:eastAsia="Arial" w:hAnsi="Arial"/>
          <w:b/>
          <w:bCs/>
          <w:color w:val="1A2744"/>
          <w:sz w:val="32"/>
          <w:szCs w:val="32"/>
        </w:rPr>
        <w:t xml:space="preserve">2. Why Boards Must Own AI Risk Appetite</w:t>
      </w:r>
    </w:p>
    <w:p>
      <w:pPr>
        <w:spacing w:after="160"/>
      </w:pPr>
      <w:r>
        <w:rPr>
          <w:rFonts w:ascii="Arial" w:cs="Arial" w:eastAsia="Arial" w:hAnsi="Arial"/>
          <w:sz w:val="20"/>
          <w:szCs w:val="20"/>
        </w:rPr>
        <w:t xml:space="preserve">The regulatory expectation that boards own AI governance is coming from multiple directions simultaneously. This section summarises the key sources.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7238"/>
      </w:tblGrid>
      <w:tr>
        <w:tc>
          <w:tcPr>
            <w:tcW w:type="dxa" w:w="24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Regulatory Source</w:t>
            </w:r>
          </w:p>
        </w:tc>
        <w:tc>
          <w:tcPr>
            <w:tcW w:type="dxa" w:w="7238"/>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AI Governance Expectation for Boards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FCA — PS24/2 and AI Governance Expectations</w:t>
            </w:r>
          </w:p>
        </w:tc>
        <w:tc>
          <w:tcPr>
            <w:tcW w:type="dxa" w:w="72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The FCA has made clear through publications and supervisory engagement that it expects boards of regulated firms to have oversight of AI used in material decisions — particularly in customer-facing applications. The FCA expects firms to be able to explain AI decisions to customers and regulators, and for board risk frameworks to explicitly address AI risk.</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ICO — AI Code of Practice (2026)</w:t>
            </w:r>
          </w:p>
        </w:tc>
        <w:tc>
          <w:tcPr>
            <w:tcW w:type="dxa" w:w="72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The ICO's AI Code of Practice (published 2026) sets out expectations for automated decision-making oversight. Organisations using AI to make decisions about individuals must have governance in place at senior leadership level. The Code specifically addresses accountability for AI systems and the obligation to provide human review of significant AI decisions.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FRC — UK Corporate Governance Code 2024</w:t>
            </w:r>
          </w:p>
        </w:tc>
        <w:tc>
          <w:tcPr>
            <w:tcW w:type="dxa" w:w="72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The UK Corporate Governance Code requires boards to maintain sound risk management and internal control systems. AI is now a material risk for many listed companies and must therefore be addressed within the board's risk oversight framework. The board is responsible for approving the firm's risk appetite, which must include AI risk.</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EU AI Act — Management Body Obligations</w:t>
            </w:r>
          </w:p>
        </w:tc>
        <w:tc>
          <w:tcPr>
            <w:tcW w:type="dxa" w:w="72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For firms with EU operations or products, the EU AI Act (fully applicable from August 2026) imposes specific obligations on the management body of deployers of high-risk AI systems. Article 9 requires that deployers of high-risk AI have a risk management system — with board or management oversight. Annex III lists high-risk AI use cases including credit scoring, employment decisions, and insurance.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UK Government — AI Opportunities Action Plan and DSIT Principles</w:t>
            </w:r>
          </w:p>
        </w:tc>
        <w:tc>
          <w:tcPr>
            <w:tcW w:type="dxa" w:w="72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The UK Government's AI Opportunities Action Plan (January 2025) sets out the direction for AI governance in the UK. The DSIT AI governance principles — transparency, accountability, safety, fairness — are expected to inform sectoral regulators' approaches. Proactive board AI governance aligns with the regulatory direction of travel.</w:t>
            </w:r>
          </w:p>
        </w:tc>
      </w:tr>
    </w:tbl>
    <w:p>
      <w:pPr>
        <w:pStyle w:val="Heading1"/>
        <w:pageBreakBefore/>
      </w:pPr>
      <w:r>
        <w:rPr>
          <w:rFonts w:ascii="Arial" w:cs="Arial" w:eastAsia="Arial" w:hAnsi="Arial"/>
          <w:b/>
          <w:bCs/>
          <w:color w:val="1A2744"/>
          <w:sz w:val="32"/>
          <w:szCs w:val="32"/>
        </w:rPr>
        <w:t xml:space="preserve">3. AI Risk Taxonomy for Boards</w:t>
      </w:r>
    </w:p>
    <w:p>
      <w:pPr>
        <w:spacing w:after="160"/>
      </w:pPr>
      <w:r>
        <w:rPr>
          <w:rFonts w:ascii="Arial" w:cs="Arial" w:eastAsia="Arial" w:hAnsi="Arial"/>
          <w:sz w:val="20"/>
          <w:szCs w:val="20"/>
        </w:rPr>
        <w:t xml:space="preserve">Boards should be familiar with the principal categories of AI risk. This taxonomy provides the framework for the Risk Appetite Statement in Section 4.</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5438"/>
      </w:tblGrid>
      <w:tr>
        <w:tc>
          <w:tcPr>
            <w:tcW w:type="dxa" w:w="18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Risk Category</w:t>
            </w:r>
          </w:p>
        </w:tc>
        <w:tc>
          <w:tcPr>
            <w:tcW w:type="dxa" w:w="24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Definition</w:t>
            </w:r>
          </w:p>
        </w:tc>
        <w:tc>
          <w:tcPr>
            <w:tcW w:type="dxa" w:w="5438"/>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Examples and Board Considerations</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Model Risk</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Errors, bias, or drift in AI model outputs that produce incorrect or harmful decisions</w:t>
            </w:r>
          </w:p>
        </w:tc>
        <w:tc>
          <w:tcPr>
            <w:tcW w:type="dxa" w:w="54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AI credit scoring model drifts and produces systematically biased decisions against certain groups. Customer segmentation model produces discriminatory outcomes. Predictive maintenance model fails to identify safety issues. Board consideration: How are AI models validated and monitored for drift?</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Data Risk</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Poor data quality, privacy violations, data poisoning, or use of inappropriate training data</w:t>
            </w:r>
          </w:p>
        </w:tc>
        <w:tc>
          <w:tcPr>
            <w:tcW w:type="dxa" w:w="54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Training data contains historical bias that replicates discrimination. Customer data used to train AI without appropriate legal basis. External data poisoning attack corrupts model behaviour. Board consideration: What data governance applies to AI training and deployment?</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Operational Risk</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AI system failures, outages, dependencies on third-party AI vendors, or errors in AI pipelines</w:t>
            </w:r>
          </w:p>
        </w:tc>
        <w:tc>
          <w:tcPr>
            <w:tcW w:type="dxa" w:w="54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AI-powered customer service system fails and customers cannot get support. Third-party AI provider suffers outage affecting the firm's core operations. AI system produces erroneous outputs at scale before detection. Board consideration: Are AI systems covered by operational resilience and business continuity frameworks?</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Regulatory/Compliance Risk</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Non-compliance with ICO AI Code, EU AI Act, Consumer Duty (for AI in customer-facing decisions), or other applicable regulation</w:t>
            </w:r>
          </w:p>
        </w:tc>
        <w:tc>
          <w:tcPr>
            <w:tcW w:type="dxa" w:w="54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AI used in loan decisions without adequate explainability — Consumer Duty non-compliance. High-risk AI deployed without required conformity assessment under EU AI Act. AI-generated content not disclosed as such. Board consideration: Do we have a regulatory compliance assessment for each AI system?</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Reputational Risk</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Harmful AI outputs, discriminatory outcomes, AI errors made public, or public trust erosion</w:t>
            </w:r>
          </w:p>
        </w:tc>
        <w:tc>
          <w:tcPr>
            <w:tcW w:type="dxa" w:w="54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AI-generated content causes reputational harm. AI hiring tool found to discriminate — media coverage. AI produces harmful outputs for vulnerable customers. Board consideration: What reputational risk process applies to AI deployment decisions?</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Strategic Risk</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Over-reliance on AI, competitive displacement by AI-first competitors, or loss of human skills and capability</w:t>
            </w:r>
          </w:p>
        </w:tc>
        <w:tc>
          <w:tcPr>
            <w:tcW w:type="dxa" w:w="54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Firm over-relies on AI for core decisions — loses the human expertise to override when AI fails. Firm under-invests in AI — loses competitive position to AI-first market entrants. AI strategy misaligned with business model. Board consideration: Is AI in the firm's strategic plan?</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Cybersecurity Risk</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Adversarial attacks on AI systems, prompt injection, model theft, or AI-enabled cyber attacks</w:t>
            </w:r>
          </w:p>
        </w:tc>
        <w:tc>
          <w:tcPr>
            <w:tcW w:type="dxa" w:w="54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Prompt injection attack on AI customer service system extracts confidential data. AI model is stolen and replicated by competitor. AI system exploited to generate phishing content at scale. Board consideration: Are AI systems within the firm's cyber risk framework?</w:t>
            </w:r>
          </w:p>
        </w:tc>
      </w:tr>
    </w:tbl>
    <w:p>
      <w:pPr>
        <w:pStyle w:val="Heading1"/>
        <w:pageBreakBefore/>
      </w:pPr>
      <w:r>
        <w:rPr>
          <w:rFonts w:ascii="Arial" w:cs="Arial" w:eastAsia="Arial" w:hAnsi="Arial"/>
          <w:b/>
          <w:bCs/>
          <w:color w:val="1A2744"/>
          <w:sz w:val="32"/>
          <w:szCs w:val="32"/>
        </w:rPr>
        <w:t xml:space="preserve">4. AI Risk Appetite Statement Template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1A2744" w:sz="1"/>
              <w:left w:val="single" w:color="1A2744" w:sz="1"/>
              <w:bottom w:val="single" w:color="1A2744" w:sz="1"/>
              <w:right w:val="single" w:color="1A2744" w:sz="1"/>
            </w:tcBorders>
            <w:shd w:fill="F2F2F2" w:val="clear"/>
            <w:tcMar>
              <w:top w:type="dxa" w:w="120"/>
              <w:left w:type="dxa" w:w="180"/>
              <w:bottom w:type="dxa" w:w="120"/>
              <w:right w:type="dxa" w:w="180"/>
            </w:tcMar>
          </w:tcPr>
          <w:p>
            <w:r>
              <w:rPr>
                <w:rFonts w:ascii="Arial" w:cs="Arial" w:eastAsia="Arial" w:hAnsi="Arial"/>
                <w:i/>
                <w:iCs/>
                <w:sz w:val="20"/>
                <w:szCs w:val="20"/>
              </w:rPr>
              <w:t xml:space="preserve">TEMPLATE — This is a board-ready AI Risk Appetite Statement template. It must be reviewed and adapted by the board with appropriate management and legal input before approval. The board should treat this as a starting point, not a final document.</w:t>
            </w:r>
          </w:p>
        </w:tc>
      </w:tr>
    </w:tbl>
    <w:p>
      <w:pPr>
        <w:spacing w:after="160"/>
      </w:pPr>
      <w:r>
        <w:rPr>
          <w:rFonts w:ascii="Arial" w:cs="Arial" w:eastAsia="Arial" w:hAnsi="Arial"/>
          <w:sz w:val="20"/>
          <w:szCs w:val="20"/>
        </w:rPr>
        <w:t xml:space="preserve"/>
      </w:r>
    </w:p>
    <w:p>
      <w:pPr>
        <w:spacing w:after="160"/>
      </w:pPr>
      <w:r>
        <w:rPr>
          <w:rFonts w:ascii="Arial" w:cs="Arial" w:eastAsia="Arial" w:hAnsi="Arial"/>
          <w:b/>
          <w:bCs/>
          <w:sz w:val="28"/>
          <w:szCs w:val="28"/>
        </w:rPr>
        <w:t xml:space="preserve">AI RISK APPETITE STATEMENT</w:t>
      </w:r>
    </w:p>
    <w:p>
      <w:pPr>
        <w:spacing w:after="160"/>
      </w:pPr>
      <w:r>
        <w:rPr>
          <w:rFonts w:ascii="Arial" w:cs="Arial" w:eastAsia="Arial" w:hAnsi="Arial"/>
          <w:sz w:val="20"/>
          <w:szCs w:val="20"/>
        </w:rPr>
        <w:t xml:space="preserve">[COMPANY NAME]</w:t>
      </w:r>
    </w:p>
    <w:p>
      <w:pPr>
        <w:spacing w:after="160"/>
      </w:pPr>
      <w:r>
        <w:rPr>
          <w:rFonts w:ascii="Arial" w:cs="Arial" w:eastAsia="Arial" w:hAnsi="Arial"/>
          <w:sz w:val="20"/>
          <w:szCs w:val="20"/>
        </w:rPr>
        <w:t xml:space="preserve">Approved by the Board: [Date]</w:t>
      </w:r>
    </w:p>
    <w:p>
      <w:pPr>
        <w:spacing w:after="160"/>
      </w:pPr>
      <w:r>
        <w:rPr>
          <w:rFonts w:ascii="Arial" w:cs="Arial" w:eastAsia="Arial" w:hAnsi="Arial"/>
          <w:sz w:val="20"/>
          <w:szCs w:val="20"/>
        </w:rPr>
        <w:t xml:space="preserve">Next Review Date: [Date — at least annually]</w:t>
      </w:r>
    </w:p>
    <w:p>
      <w:pPr>
        <w:spacing w:after="160"/>
      </w:pPr>
      <w:r>
        <w:rPr>
          <w:rFonts w:ascii="Arial" w:cs="Arial" w:eastAsia="Arial" w:hAnsi="Arial"/>
          <w:sz w:val="20"/>
          <w:szCs w:val="20"/>
        </w:rPr>
        <w:t xml:space="preserve"/>
      </w:r>
    </w:p>
    <w:p>
      <w:pPr>
        <w:spacing w:after="160"/>
      </w:pPr>
      <w:r>
        <w:rPr>
          <w:rFonts w:ascii="Arial" w:cs="Arial" w:eastAsia="Arial" w:hAnsi="Arial"/>
          <w:b/>
          <w:bCs/>
          <w:sz w:val="20"/>
          <w:szCs w:val="20"/>
        </w:rPr>
        <w:t xml:space="preserve">Board Preamble</w:t>
      </w:r>
    </w:p>
    <w:p>
      <w:pPr>
        <w:spacing w:after="160"/>
      </w:pPr>
      <w:r>
        <w:rPr>
          <w:rFonts w:ascii="Arial" w:cs="Arial" w:eastAsia="Arial" w:hAnsi="Arial"/>
          <w:sz w:val="20"/>
          <w:szCs w:val="20"/>
        </w:rPr>
        <w:t xml:space="preserve">The Board of [Company Name] recognises that artificial intelligence presents both significant opportunity and material risk to the business, its customers, its employees, and its stakeholders. The Board sets the following AI Risk Appetite to guide management's deployment and governance of AI systems across the organisation. This statement is reviewed and approved by the Board at least annually.</w:t>
      </w:r>
    </w:p>
    <w:p>
      <w:pPr>
        <w:spacing w:after="160"/>
      </w:pPr>
      <w:r>
        <w:rPr>
          <w:rFonts w:ascii="Arial" w:cs="Arial" w:eastAsia="Arial" w:hAnsi="Arial"/>
          <w:sz w:val="20"/>
          <w:szCs w:val="20"/>
        </w:rPr>
        <w:t xml:space="preserve"/>
      </w:r>
    </w:p>
    <w:p>
      <w:pPr>
        <w:spacing w:after="160"/>
      </w:pPr>
      <w:r>
        <w:rPr>
          <w:rFonts w:ascii="Arial" w:cs="Arial" w:eastAsia="Arial" w:hAnsi="Arial"/>
          <w:b/>
          <w:bCs/>
          <w:sz w:val="20"/>
          <w:szCs w:val="20"/>
        </w:rPr>
        <w:t xml:space="preserve">AI Risk Appetite by Risk Category</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600"/>
        <w:gridCol w:w="3019"/>
        <w:gridCol w:w="1800"/>
        <w:gridCol w:w="3219"/>
      </w:tblGrid>
      <w:tr>
        <w:tc>
          <w:tcPr>
            <w:tcW w:type="dxa" w:w="16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Risk Category</w:t>
            </w:r>
          </w:p>
        </w:tc>
        <w:tc>
          <w:tcPr>
            <w:tcW w:type="dxa" w:w="3019"/>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Board Risk Appetite Statement</w:t>
            </w:r>
          </w:p>
        </w:tc>
        <w:tc>
          <w:tcPr>
            <w:tcW w:type="dxa" w:w="18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Tolerance</w:t>
            </w:r>
          </w:p>
        </w:tc>
        <w:tc>
          <w:tcPr>
            <w:tcW w:type="dxa" w:w="3219"/>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Escalation Trigger</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Model Risk</w:t>
            </w:r>
          </w:p>
        </w:tc>
        <w:tc>
          <w:tcPr>
            <w:tcW w:type="dxa" w:w="30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The Board has LOW appetite for AI systems that make material decisions about individuals, customers, or the firm's financial position without adequate validation, monitoring, and human oversight arrangements.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Zero tolerance for AI models deployed without validation. Maximum acceptable model drift without remediation: [define metric, e.g., accuracy degradation of &gt;5%].</w:t>
            </w:r>
          </w:p>
        </w:tc>
        <w:tc>
          <w:tcPr>
            <w:tcW w:type="dxa" w:w="32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Any identified model error affecting more than [X] customers or [£Y] value to be escalated to the Board. Any identified systematic bias to be escalated immediately.</w:t>
            </w:r>
          </w:p>
        </w:tc>
      </w:tr>
      <w:tr>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Data Risk</w:t>
            </w:r>
          </w:p>
        </w:tc>
        <w:tc>
          <w:tcPr>
            <w:tcW w:type="dxa" w:w="30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The Board has LOW appetite for AI systems trained on or using data that has not been assessed for privacy compliance, bias, and accuracy. The Board has ZERO appetite for AI systems that use personal data without adequate legal basis.</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All AI training data to be subject to data quality and bias assessment before use. No personal data to be used without legal basis documented.</w:t>
            </w:r>
          </w:p>
        </w:tc>
        <w:tc>
          <w:tcPr>
            <w:tcW w:type="dxa" w:w="32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Any identified data breach involving AI systems to be escalated to the Board within [24 hours/48 hours]. Any ICO investigation involving AI data use to be escalated immediately.</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Operational Risk</w:t>
            </w:r>
          </w:p>
        </w:tc>
        <w:tc>
          <w:tcPr>
            <w:tcW w:type="dxa" w:w="30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The Board has LOW-MEDIUM appetite for operational disruption arising from AI system failures, given the increasing dependency of the firm on AI-supported processes. All material AI systems must be covered by the firm's operational resilience framework.</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Maximum acceptable downtime for [critical AI system] = [time]. All AI systems classified as supporting Important Business Services to have tested recovery plans.</w:t>
            </w:r>
          </w:p>
        </w:tc>
        <w:tc>
          <w:tcPr>
            <w:tcW w:type="dxa" w:w="32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Any AI system failure causing customer harm or market impact to be escalated to the Board. Any third-party AI vendor failure affecting core operations to be escalated to the Risk Committee.</w:t>
            </w:r>
          </w:p>
        </w:tc>
      </w:tr>
      <w:tr>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Regulatory / Compliance Risk</w:t>
            </w:r>
          </w:p>
        </w:tc>
        <w:tc>
          <w:tcPr>
            <w:tcW w:type="dxa" w:w="30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The Board has ZERO appetite for AI deployment that is non-compliant with applicable regulation, including the ICO AI Code of Practice, EU AI Act (where applicable), and FCA Consumer Duty (for customer-facing AI decisions).</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All AI systems to be assessed against applicable regulatory requirements before deployment. High-risk AI (as defined by the EU AI Act Annex III or ICO Code) to require Audit Committee or Board approval before deployment.</w:t>
            </w:r>
          </w:p>
        </w:tc>
        <w:tc>
          <w:tcPr>
            <w:tcW w:type="dxa" w:w="32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Any regulatory investigation or enforcement action involving AI to be escalated to the Board immediately. Any identified non-compliance to be escalated to the Risk Committee within [5 working days].</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Reputational Risk</w:t>
            </w:r>
          </w:p>
        </w:tc>
        <w:tc>
          <w:tcPr>
            <w:tcW w:type="dxa" w:w="30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The Board has LOW appetite for AI deployments that could cause harm to customers, produce discriminatory outcomes, or damage public trust in the firm.</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All customer-facing AI deployments to be subject to a reputational risk assessment before launch. AI systems capable of generating synthetic or AI-generated content must include appropriate disclosure to users.</w:t>
            </w:r>
          </w:p>
        </w:tc>
        <w:tc>
          <w:tcPr>
            <w:tcW w:type="dxa" w:w="32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Any media report, customer complaint, or regulatory inquiry relating to AI-related harm to be escalated to the Board. Any AI-generated content causing identified harm to be escalated immediately.</w:t>
            </w:r>
          </w:p>
        </w:tc>
      </w:tr>
      <w:tr>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Strategic Risk</w:t>
            </w:r>
          </w:p>
        </w:tc>
        <w:tc>
          <w:tcPr>
            <w:tcW w:type="dxa" w:w="30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The Board has MEDIUM appetite for strategic risk arising from AI, recognising that some level of experimentation and investment in AI is necessary for long-term competitiveness. The Board has LOW appetite for material over-reliance on AI in areas where human expertise and judgment are essential.</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AI strategy to be reviewed by the Board at least annually. Material AI investments (above [£X]) to be approved by the Board. Human expertise in core functions to be maintained alongside AI deployment.</w:t>
            </w:r>
          </w:p>
        </w:tc>
        <w:tc>
          <w:tcPr>
            <w:tcW w:type="dxa" w:w="32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Any proposal for AI to replace human decision-making in a material area of the business to be brought to the Board for approval. Any identified loss of critical human capability due to AI dependency to be escalated to the Risk Committee.</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Cybersecurity Risk</w:t>
            </w:r>
          </w:p>
        </w:tc>
        <w:tc>
          <w:tcPr>
            <w:tcW w:type="dxa" w:w="30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The Board has LOW appetite for cybersecurity risk arising from AI systems, including adversarial attacks, prompt injection, and model theft. All AI systems must be within the scope of the firm's cyber risk and incident response framework.</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All AI systems to be assessed for cybersecurity risks before deployment. AI systems with external interfaces to be subject to regular penetration testing. Cyber insurance coverage to be confirmed for AI-related incidents.</w:t>
            </w:r>
          </w:p>
        </w:tc>
        <w:tc>
          <w:tcPr>
            <w:tcW w:type="dxa" w:w="32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Any suspected cyber attack involving AI systems to be escalated to the Board within [24 hours]. Any confirmed prompt injection or model theft incident to be escalated immediately.</w:t>
            </w:r>
          </w:p>
        </w:tc>
      </w:tr>
    </w:tbl>
    <w:p>
      <w:pPr>
        <w:spacing w:after="160"/>
      </w:pPr>
      <w:r>
        <w:rPr>
          <w:rFonts w:ascii="Arial" w:cs="Arial" w:eastAsia="Arial" w:hAnsi="Arial"/>
          <w:sz w:val="20"/>
          <w:szCs w:val="20"/>
        </w:rPr>
        <w:t xml:space="preserve"/>
      </w:r>
    </w:p>
    <w:p>
      <w:pPr>
        <w:spacing w:after="160"/>
      </w:pPr>
      <w:r>
        <w:rPr>
          <w:rFonts w:ascii="Arial" w:cs="Arial" w:eastAsia="Arial" w:hAnsi="Arial"/>
          <w:b/>
          <w:bCs/>
          <w:sz w:val="20"/>
          <w:szCs w:val="20"/>
        </w:rPr>
        <w:t xml:space="preserve">Governance Provisions</w:t>
      </w:r>
    </w:p>
    <w:p>
      <w:pPr>
        <w:pStyle w:val="ListParagraph"/>
        <w:numPr>
          <w:ilvl w:val="0"/>
          <w:numId w:val="2"/>
        </w:numPr>
      </w:pPr>
      <w:r>
        <w:rPr>
          <w:rFonts w:ascii="Arial" w:cs="Arial" w:eastAsia="Arial" w:hAnsi="Arial"/>
          <w:sz w:val="20"/>
          <w:szCs w:val="20"/>
        </w:rPr>
        <w:t xml:space="preserve">The CIO/CTO is accountable to the Board for the AI risk framework and for ensuring this Risk Appetite is implemented across the organisation.</w:t>
      </w:r>
    </w:p>
    <w:p>
      <w:pPr>
        <w:pStyle w:val="ListParagraph"/>
        <w:numPr>
          <w:ilvl w:val="0"/>
          <w:numId w:val="2"/>
        </w:numPr>
      </w:pPr>
      <w:r>
        <w:rPr>
          <w:rFonts w:ascii="Arial" w:cs="Arial" w:eastAsia="Arial" w:hAnsi="Arial"/>
          <w:sz w:val="20"/>
          <w:szCs w:val="20"/>
        </w:rPr>
        <w:t xml:space="preserve">The Audit Committee receives an annual AI risk report, including an update on the AI inventory, any incidents, regulatory developments, and compliance with this Risk Appetite.</w:t>
      </w:r>
    </w:p>
    <w:p>
      <w:pPr>
        <w:pStyle w:val="ListParagraph"/>
        <w:numPr>
          <w:ilvl w:val="0"/>
          <w:numId w:val="2"/>
        </w:numPr>
      </w:pPr>
      <w:r>
        <w:rPr>
          <w:rFonts w:ascii="Arial" w:cs="Arial" w:eastAsia="Arial" w:hAnsi="Arial"/>
          <w:sz w:val="20"/>
          <w:szCs w:val="20"/>
        </w:rPr>
        <w:t xml:space="preserve">The Board approves material new AI deployments — defined as AI systems that: (a) make or materially influence decisions affecting customers or employees at scale; (b) involve high-risk AI as defined by the EU AI Act Annex III or ICO AI Code; (c) require capital investment above [£X].</w:t>
      </w:r>
    </w:p>
    <w:p>
      <w:pPr>
        <w:pStyle w:val="ListParagraph"/>
        <w:numPr>
          <w:ilvl w:val="0"/>
          <w:numId w:val="2"/>
        </w:numPr>
      </w:pPr>
      <w:r>
        <w:rPr>
          <w:rFonts w:ascii="Arial" w:cs="Arial" w:eastAsia="Arial" w:hAnsi="Arial"/>
          <w:sz w:val="20"/>
          <w:szCs w:val="20"/>
        </w:rPr>
        <w:t xml:space="preserve">The Board reviews and approves this AI Risk Appetite Statement at least annually, or following any material AI incident or significant regulatory change.</w:t>
      </w:r>
    </w:p>
    <w:p>
      <w:pPr>
        <w:pStyle w:val="ListParagraph"/>
        <w:numPr>
          <w:ilvl w:val="0"/>
          <w:numId w:val="2"/>
        </w:numPr>
      </w:pPr>
      <w:r>
        <w:rPr>
          <w:rFonts w:ascii="Arial" w:cs="Arial" w:eastAsia="Arial" w:hAnsi="Arial"/>
          <w:sz w:val="20"/>
          <w:szCs w:val="20"/>
        </w:rPr>
        <w:t xml:space="preserve">Management reports quarterly to the Board (or Risk Committee) on AI risk, including: AI inventory status, any incidents, regulatory developments, and any breaches of this Risk Appetite.</w:t>
      </w:r>
    </w:p>
    <w:p>
      <w:pPr>
        <w:pStyle w:val="Heading1"/>
        <w:pageBreakBefore/>
      </w:pPr>
      <w:r>
        <w:rPr>
          <w:rFonts w:ascii="Arial" w:cs="Arial" w:eastAsia="Arial" w:hAnsi="Arial"/>
          <w:b/>
          <w:bCs/>
          <w:color w:val="1A2744"/>
          <w:sz w:val="32"/>
          <w:szCs w:val="32"/>
        </w:rPr>
        <w:t xml:space="preserve">5. AI Governance Framework</w:t>
      </w:r>
    </w:p>
    <w:p>
      <w:pPr>
        <w:spacing w:after="160"/>
      </w:pPr>
      <w:r>
        <w:rPr>
          <w:rFonts w:ascii="Arial" w:cs="Arial" w:eastAsia="Arial" w:hAnsi="Arial"/>
          <w:sz w:val="20"/>
          <w:szCs w:val="20"/>
        </w:rPr>
        <w:t xml:space="preserve">The AI Risk Appetite Statement sets the board-level boundary conditions. The following governance framework operates beneath it.</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7238"/>
      </w:tblGrid>
      <w:tr>
        <w:tc>
          <w:tcPr>
            <w:tcW w:type="dxa" w:w="24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Framework Element</w:t>
            </w:r>
          </w:p>
        </w:tc>
        <w:tc>
          <w:tcPr>
            <w:tcW w:type="dxa" w:w="7238"/>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Description and Board Expectation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AI Inventory</w:t>
            </w:r>
          </w:p>
        </w:tc>
        <w:tc>
          <w:tcPr>
            <w:tcW w:type="dxa" w:w="72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 complete, up-to-date catalogue of every production AI system the firm operates, with risk classification (high/medium/low) applied to each. The board should receive confirmation that the inventory exists and is maintained. Any gaps in the inventory are a material risk.</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AI Impact Assessments</w:t>
            </w:r>
          </w:p>
        </w:tc>
        <w:tc>
          <w:tcPr>
            <w:tcW w:type="dxa" w:w="72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Required before deployment of any medium or high-risk AI system. The assessment should evaluate: data quality and bias, regulatory compliance, human oversight requirements, operational resilience, cybersecurity, and reputational risk. High-risk AI impact assessments to be reviewed by the Audit Committee.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Human Oversight Requirements</w:t>
            </w:r>
          </w:p>
        </w:tc>
        <w:tc>
          <w:tcPr>
            <w:tcW w:type="dxa" w:w="72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For AI systems making or materially influencing significant decisions — about customers, employees, or the firm's financial position — the board should approve the human oversight arrangements. 'Human in the loop' requirements should be defined and monitored.</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Third-Party AI Governance</w:t>
            </w:r>
          </w:p>
        </w:tc>
        <w:tc>
          <w:tcPr>
            <w:tcW w:type="dxa" w:w="72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Many firms are exposed to AI risk through third-party suppliers — cloud AI services, AI-powered software, and AI from vendors. Third-party AI governance should include: contractual protections (liability, audit rights, AI policies of vendors), vendor AI risk assessments, and monitoring of vendor AI changes.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Incident Response</w:t>
            </w:r>
          </w:p>
        </w:tc>
        <w:tc>
          <w:tcPr>
            <w:tcW w:type="dxa" w:w="72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AI failures and incidents must be covered by the firm's incident response framework. The board should confirm: how AI incidents are defined and classified, who is responsible for AI incident response, and how AI incidents are escalated to the board.</w:t>
            </w:r>
          </w:p>
        </w:tc>
      </w:tr>
    </w:tbl>
    <w:p>
      <w:pPr>
        <w:pStyle w:val="Heading1"/>
        <w:pageBreakBefore/>
      </w:pPr>
      <w:r>
        <w:rPr>
          <w:rFonts w:ascii="Arial" w:cs="Arial" w:eastAsia="Arial" w:hAnsi="Arial"/>
          <w:b/>
          <w:bCs/>
          <w:color w:val="1A2744"/>
          <w:sz w:val="32"/>
          <w:szCs w:val="32"/>
        </w:rPr>
        <w:t xml:space="preserve">6. High-Risk AI — What Requires Board Attention</w:t>
      </w:r>
    </w:p>
    <w:p>
      <w:pPr>
        <w:spacing w:after="160"/>
      </w:pPr>
      <w:r>
        <w:rPr>
          <w:rFonts w:ascii="Arial" w:cs="Arial" w:eastAsia="Arial" w:hAnsi="Arial"/>
          <w:sz w:val="20"/>
          <w:szCs w:val="20"/>
        </w:rPr>
        <w:t xml:space="preserve">Not all AI is equally risky. The following categories of AI require board-level attention — either because they fall within the EU AI Act's high-risk categories (Annex III), the ICO's heightened concern areas, or because they present particular reputational, regulatory, or operational risk.</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High-Risk AI Use Case</w:t>
            </w:r>
          </w:p>
        </w:tc>
        <w:tc>
          <w:tcPr>
            <w:tcW w:type="dxa" w:w="6638"/>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Why Board Attention is Required</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AI in recruitment and HR decisions</w:t>
            </w:r>
          </w:p>
        </w:tc>
        <w:tc>
          <w:tcPr>
            <w:tcW w:type="dxa" w:w="66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EU AI Act Annex III — AI used in recruitment, promotion, or HR decisions affecting employees is classified as high-risk. ICO Code requires human review of significant automated HR decisions. Discrimination risk is high. Board should confirm human oversight arrangements and bias testing.</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AI in credit scoring and financial decisions</w:t>
            </w:r>
          </w:p>
        </w:tc>
        <w:tc>
          <w:tcPr>
            <w:tcW w:type="dxa" w:w="66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EU AI Act Annex III — AI used in creditworthiness assessment is high-risk. FCA Consumer Duty requires that automated credit decisions are explainable to customers. Board should confirm that credit AI is validated, monitored, and explainable.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AI in insurance underwriting</w:t>
            </w:r>
          </w:p>
        </w:tc>
        <w:tc>
          <w:tcPr>
            <w:tcW w:type="dxa" w:w="66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EU AI Act Annex III — AI in insurance risk assessment and pricing is high-risk. FCA price and value obligations apply. Board should confirm that AI underwriting produces fair value outcomes and does not produce discriminatory pricing.</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AI in healthcare or safety-critical applications</w:t>
            </w:r>
          </w:p>
        </w:tc>
        <w:tc>
          <w:tcPr>
            <w:tcW w:type="dxa" w:w="66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EU AI Act Annex III — AI used in medical devices, health diagnosis, or safety-critical infrastructure is high-risk and subject to conformity assessment requirements. Board should confirm regulatory compliance and safety testing.</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AI generating synthetic content at scale</w:t>
            </w:r>
          </w:p>
        </w:tc>
        <w:tc>
          <w:tcPr>
            <w:tcW w:type="dxa" w:w="66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AI-generated content (images, video, text) presents reputational and regulatory risk — including misinformation risk. ICO Code requires disclosure of significant AI-generated content. Board should confirm disclosure policies and content governance.</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Agentic AI with autonomous action capabilities</w:t>
            </w:r>
          </w:p>
        </w:tc>
        <w:tc>
          <w:tcPr>
            <w:tcW w:type="dxa" w:w="66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AI systems with the ability to take autonomous actions — making purchases, sending communications, executing transactions — without human approval present significant operational and reputational risk. Board should set clear boundaries on autonomous AI action.</w:t>
            </w:r>
          </w:p>
        </w:tc>
      </w:tr>
    </w:tbl>
    <w:p>
      <w:pPr>
        <w:pStyle w:val="Heading1"/>
        <w:pageBreakBefore/>
      </w:pPr>
      <w:r>
        <w:rPr>
          <w:rFonts w:ascii="Arial" w:cs="Arial" w:eastAsia="Arial" w:hAnsi="Arial"/>
          <w:b/>
          <w:bCs/>
          <w:color w:val="1A2744"/>
          <w:sz w:val="32"/>
          <w:szCs w:val="32"/>
        </w:rPr>
        <w:t xml:space="preserve">7. Board Questions on AI Risk</w:t>
      </w:r>
    </w:p>
    <w:p>
      <w:pPr>
        <w:spacing w:after="160"/>
      </w:pPr>
      <w:r>
        <w:rPr>
          <w:rFonts w:ascii="Arial" w:cs="Arial" w:eastAsia="Arial" w:hAnsi="Arial"/>
          <w:b/>
          <w:bCs/>
          <w:sz w:val="20"/>
          <w:szCs w:val="20"/>
        </w:rPr>
        <w:t xml:space="preserve">These ten questions provide the foundation for the board's AI risk governance oversight.</w:t>
      </w:r>
    </w:p>
    <w:p>
      <w:pPr>
        <w:spacing w:after="160"/>
      </w:pPr>
      <w:r>
        <w:rPr>
          <w:rFonts w:ascii="Arial" w:cs="Arial" w:eastAsia="Arial" w:hAnsi="Arial"/>
          <w:sz w:val="20"/>
          <w:szCs w:val="20"/>
        </w:rPr>
        <w:t xml:space="preserve"/>
      </w:r>
    </w:p>
    <w:p>
      <w:pPr>
        <w:pStyle w:val="ListParagraph"/>
        <w:numPr>
          <w:ilvl w:val="0"/>
          <w:numId w:val="2"/>
        </w:numPr>
      </w:pPr>
      <w:r>
        <w:rPr>
          <w:rFonts w:ascii="Arial" w:cs="Arial" w:eastAsia="Arial" w:hAnsi="Arial"/>
          <w:sz w:val="20"/>
          <w:szCs w:val="20"/>
        </w:rPr>
        <w:t xml:space="preserve">1. Has the board approved an AI Risk Appetite Statement that covers all material AI risk categories? If not, when will one be brought to the board for approval?</w:t>
      </w:r>
    </w:p>
    <w:p>
      <w:pPr>
        <w:pStyle w:val="ListParagraph"/>
        <w:numPr>
          <w:ilvl w:val="0"/>
          <w:numId w:val="2"/>
        </w:numPr>
      </w:pPr>
      <w:r>
        <w:rPr>
          <w:rFonts w:ascii="Arial" w:cs="Arial" w:eastAsia="Arial" w:hAnsi="Arial"/>
          <w:sz w:val="20"/>
          <w:szCs w:val="20"/>
        </w:rPr>
        <w:t xml:space="preserve">2. Do we have a complete and current AI inventory? How many AI systems does the firm operate, and how many are classified as high-risk?</w:t>
      </w:r>
    </w:p>
    <w:p>
      <w:pPr>
        <w:pStyle w:val="ListParagraph"/>
        <w:numPr>
          <w:ilvl w:val="0"/>
          <w:numId w:val="2"/>
        </w:numPr>
      </w:pPr>
      <w:r>
        <w:rPr>
          <w:rFonts w:ascii="Arial" w:cs="Arial" w:eastAsia="Arial" w:hAnsi="Arial"/>
          <w:sz w:val="20"/>
          <w:szCs w:val="20"/>
        </w:rPr>
        <w:t xml:space="preserve">3. Which AI systems in the firm make material decisions without human oversight? Has the board approved the human oversight arrangements for those systems?</w:t>
      </w:r>
    </w:p>
    <w:p>
      <w:pPr>
        <w:pStyle w:val="ListParagraph"/>
        <w:numPr>
          <w:ilvl w:val="0"/>
          <w:numId w:val="2"/>
        </w:numPr>
      </w:pPr>
      <w:r>
        <w:rPr>
          <w:rFonts w:ascii="Arial" w:cs="Arial" w:eastAsia="Arial" w:hAnsi="Arial"/>
          <w:sz w:val="20"/>
          <w:szCs w:val="20"/>
        </w:rPr>
        <w:t xml:space="preserve">4. Are we compliant with the ICO AI Code of Practice? Have we conducted an assessment against the Code requirements?</w:t>
      </w:r>
    </w:p>
    <w:p>
      <w:pPr>
        <w:pStyle w:val="ListParagraph"/>
        <w:numPr>
          <w:ilvl w:val="0"/>
          <w:numId w:val="2"/>
        </w:numPr>
      </w:pPr>
      <w:r>
        <w:rPr>
          <w:rFonts w:ascii="Arial" w:cs="Arial" w:eastAsia="Arial" w:hAnsi="Arial"/>
          <w:sz w:val="20"/>
          <w:szCs w:val="20"/>
        </w:rPr>
        <w:t xml:space="preserve">5. For firms with EU operations or products: have we assessed which of our AI systems fall within the EU AI Act Annex III high-risk categories? Are we compliant?</w:t>
      </w:r>
    </w:p>
    <w:p>
      <w:pPr>
        <w:pStyle w:val="ListParagraph"/>
        <w:numPr>
          <w:ilvl w:val="0"/>
          <w:numId w:val="2"/>
        </w:numPr>
      </w:pPr>
      <w:r>
        <w:rPr>
          <w:rFonts w:ascii="Arial" w:cs="Arial" w:eastAsia="Arial" w:hAnsi="Arial"/>
          <w:sz w:val="20"/>
          <w:szCs w:val="20"/>
        </w:rPr>
        <w:t xml:space="preserve">6. Do we have contractual audit rights and AI governance obligations in our contracts with third-party AI vendors? When did we last exercise those audit rights?</w:t>
      </w:r>
    </w:p>
    <w:p>
      <w:pPr>
        <w:pStyle w:val="ListParagraph"/>
        <w:numPr>
          <w:ilvl w:val="0"/>
          <w:numId w:val="2"/>
        </w:numPr>
      </w:pPr>
      <w:r>
        <w:rPr>
          <w:rFonts w:ascii="Arial" w:cs="Arial" w:eastAsia="Arial" w:hAnsi="Arial"/>
          <w:sz w:val="20"/>
          <w:szCs w:val="20"/>
        </w:rPr>
        <w:t xml:space="preserve">7. Has any AI system produced a harmful, discriminatory, or materially incorrect outcome in the last 12 months? If so, what happened and what was remediated?</w:t>
      </w:r>
    </w:p>
    <w:p>
      <w:pPr>
        <w:pStyle w:val="ListParagraph"/>
        <w:numPr>
          <w:ilvl w:val="0"/>
          <w:numId w:val="2"/>
        </w:numPr>
      </w:pPr>
      <w:r>
        <w:rPr>
          <w:rFonts w:ascii="Arial" w:cs="Arial" w:eastAsia="Arial" w:hAnsi="Arial"/>
          <w:sz w:val="20"/>
          <w:szCs w:val="20"/>
        </w:rPr>
        <w:t xml:space="preserve">8. How do we test our AI systems for bias and accuracy? Who is responsible for this testing, and how often does it occur?</w:t>
      </w:r>
    </w:p>
    <w:p>
      <w:pPr>
        <w:pStyle w:val="ListParagraph"/>
        <w:numPr>
          <w:ilvl w:val="0"/>
          <w:numId w:val="2"/>
        </w:numPr>
      </w:pPr>
      <w:r>
        <w:rPr>
          <w:rFonts w:ascii="Arial" w:cs="Arial" w:eastAsia="Arial" w:hAnsi="Arial"/>
          <w:sz w:val="20"/>
          <w:szCs w:val="20"/>
        </w:rPr>
        <w:t xml:space="preserve">9. Who is accountable at board level for AI governance — and does that individual have sufficient authority and resource to discharge the responsibility effectively?</w:t>
      </w:r>
    </w:p>
    <w:p>
      <w:pPr>
        <w:pStyle w:val="ListParagraph"/>
        <w:numPr>
          <w:ilvl w:val="0"/>
          <w:numId w:val="2"/>
        </w:numPr>
      </w:pPr>
      <w:r>
        <w:rPr>
          <w:rFonts w:ascii="Arial" w:cs="Arial" w:eastAsia="Arial" w:hAnsi="Arial"/>
          <w:sz w:val="20"/>
          <w:szCs w:val="20"/>
        </w:rPr>
        <w:t xml:space="preserve">10. Are our AI systems covered by our operational resilience, business continuity, and cyber insurance frameworks? Have we confirmed this with our insurers?</w:t>
      </w:r>
    </w:p>
    <w:p>
      <w:pPr>
        <w:pStyle w:val="Heading1"/>
        <w:pageBreakBefore/>
      </w:pPr>
      <w:r>
        <w:rPr>
          <w:rFonts w:ascii="Arial" w:cs="Arial" w:eastAsia="Arial" w:hAnsi="Arial"/>
          <w:b/>
          <w:bCs/>
          <w:color w:val="1A2744"/>
          <w:sz w:val="32"/>
          <w:szCs w:val="32"/>
        </w:rPr>
        <w:t xml:space="preserve">8. Implementation Roadmap</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5438"/>
      </w:tblGrid>
      <w:tr>
        <w:tc>
          <w:tcPr>
            <w:tcW w:type="dxa" w:w="18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Phase</w:t>
            </w:r>
          </w:p>
        </w:tc>
        <w:tc>
          <w:tcPr>
            <w:tcW w:type="dxa" w:w="24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Timing</w:t>
            </w:r>
          </w:p>
        </w:tc>
        <w:tc>
          <w:tcPr>
            <w:tcW w:type="dxa" w:w="5438"/>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Actions</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Phase 1 — Board Governance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Now (immediate)</w:t>
            </w:r>
          </w:p>
        </w:tc>
        <w:tc>
          <w:tcPr>
            <w:tcW w:type="dxa" w:w="54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Board reviews and approves AI Risk Appetite Statement. CIO/CTO designated as accountable for AI risk framework. AI risk added to board risk register. Audit Committee tasked with AI risk oversight.</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Phase 2 — AI Inventory</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Within 3 months</w:t>
            </w:r>
          </w:p>
        </w:tc>
        <w:tc>
          <w:tcPr>
            <w:tcW w:type="dxa" w:w="54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Complete AI inventory covering all production AI systems. Apply risk classification (high/medium/low) to each system based on EU AI Act Annex III, ICO Code, and firm-specific criteria. Identify any systems currently without appropriate governance.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Phase 3 — Impact Assessments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Within 6 months</w:t>
            </w:r>
          </w:p>
        </w:tc>
        <w:tc>
          <w:tcPr>
            <w:tcW w:type="dxa" w:w="54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Conduct AI impact assessments for all high-risk AI systems not yet assessed. Remediate any identified gaps in oversight, bias testing, or regulatory compliance. Establish third-party AI governance framework for key AI vendors.</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Phase 4 — Ongoing Governance</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Ongoing (quarterly)</w:t>
            </w:r>
          </w:p>
        </w:tc>
        <w:tc>
          <w:tcPr>
            <w:tcW w:type="dxa" w:w="54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Quarterly AI risk report to Board/Risk Committee. Annual AI Risk Appetite Statement review. Annual Audit Committee AI risk report. Continuous monitoring of AI systems for drift, bias, and incidents. Annual regulatory compliance review against ICO Code, EU AI Act, FCA expectations.</w:t>
            </w:r>
          </w:p>
        </w:tc>
      </w:tr>
    </w:tbl>
    <w:p>
      <w:pPr>
        <w:pStyle w:val="Heading1"/>
        <w:pageBreakBefore/>
      </w:pPr>
      <w:r>
        <w:rPr>
          <w:rFonts w:ascii="Arial" w:cs="Arial" w:eastAsia="Arial" w:hAnsi="Arial"/>
          <w:b/>
          <w:bCs/>
          <w:color w:val="1A2744"/>
          <w:sz w:val="32"/>
          <w:szCs w:val="32"/>
        </w:rPr>
        <w:t xml:space="preserve">9. Key References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Reference</w:t>
            </w:r>
          </w:p>
        </w:tc>
        <w:tc>
          <w:tcPr>
            <w:tcW w:type="dxa" w:w="6638"/>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Relevance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ICO AI Code of Practice (2026)</w:t>
            </w:r>
          </w:p>
        </w:tc>
        <w:tc>
          <w:tcPr>
            <w:tcW w:type="dxa" w:w="66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The ICO's framework for AI governance in the UK — sets out expectations for automated decision-making, human oversight, explainability, and accountability. Applies to all organisations processing personal data using AI.</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EU AI Act — Articles 5 and 9, Annex III</w:t>
            </w:r>
          </w:p>
        </w:tc>
        <w:tc>
          <w:tcPr>
            <w:tcW w:type="dxa" w:w="66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The EU's AI regulation, fully applicable from August 2026. Article 5: prohibited AI practices. Article 9: risk management system requirements for high-risk AI. Annex III: list of high-risk AI use cases.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FCA AI Governance Expectations</w:t>
            </w:r>
          </w:p>
        </w:tc>
        <w:tc>
          <w:tcPr>
            <w:tcW w:type="dxa" w:w="66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The FCA's published expectations on AI governance for regulated firms — including explainability of AI decisions affecting customers, model risk management, and board oversight of AI risk.</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FRC Code 2024 — Risk Oversight Provisions</w:t>
            </w:r>
          </w:p>
        </w:tc>
        <w:tc>
          <w:tcPr>
            <w:tcW w:type="dxa" w:w="66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The UK Corporate Governance Code 2024 requires boards to maintain robust risk management frameworks. AI is now a material risk for many listed companies and must be addressed within the board's risk oversight obligations.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DSIT AI Opportunities Action Plan (January 2025)</w:t>
            </w:r>
          </w:p>
        </w:tc>
        <w:tc>
          <w:tcPr>
            <w:tcW w:type="dxa" w:w="66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The UK Government's plan for AI adoption and governance — sets the direction for UK AI regulation and signals the Government's expectation that organisations adopt AI governance proactively.</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NIST AI Risk Management Framework (AI RMF)</w:t>
            </w:r>
          </w:p>
        </w:tc>
        <w:tc>
          <w:tcPr>
            <w:tcW w:type="dxa" w:w="66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The US NIST AI Risk Management Framework provides a widely-adopted voluntary framework for AI risk management. Many UK organisations use the NIST AI RMF as an operational framework beneath their board AI risk appetite.</w:t>
            </w:r>
          </w:p>
        </w:tc>
      </w:tr>
    </w:tbl>
    <w:p>
      <w:pPr>
        <w:pStyle w:val="Heading1"/>
        <w:pageBreakBefore/>
      </w:pPr>
      <w:r>
        <w:rPr>
          <w:rFonts w:ascii="Arial" w:cs="Arial" w:eastAsia="Arial" w:hAnsi="Arial"/>
          <w:b/>
          <w:bCs/>
          <w:color w:val="1A2744"/>
          <w:sz w:val="32"/>
          <w:szCs w:val="32"/>
        </w:rPr>
        <w:t xml:space="preserve">10. About INFORMD</w:t>
      </w:r>
    </w:p>
    <w:p>
      <w:pPr>
        <w:spacing w:after="160"/>
      </w:pPr>
      <w:r>
        <w:rPr>
          <w:rFonts w:ascii="Arial" w:cs="Arial" w:eastAsia="Arial" w:hAnsi="Arial"/>
          <w:sz w:val="20"/>
          <w:szCs w:val="20"/>
        </w:rPr>
        <w:t xml:space="preserve">INFORMD provides executive intelligence briefings, tools and frameworks for UK senior business leaders navigating regulatory change. Based in Milton Keynes, UK, INFORMD helps boards and executive teams stay ahead of regulatory change — not catch up with it.</w:t>
      </w:r>
    </w:p>
    <w:p>
      <w:pPr>
        <w:spacing w:after="160"/>
      </w:pPr>
      <w:r>
        <w:rPr>
          <w:rFonts w:ascii="Arial" w:cs="Arial" w:eastAsia="Arial" w:hAnsi="Arial"/>
          <w:sz w:val="20"/>
          <w:szCs w:val="20"/>
        </w:rPr>
        <w:t xml:space="preserve">Explore our full briefing library: informd.co.uk/resources</w:t>
      </w:r>
    </w:p>
    <w:p>
      <w:pPr>
        <w:spacing w:after="160"/>
      </w:pPr>
      <w:r>
        <w:rPr>
          <w:rFonts w:ascii="Arial" w:cs="Arial" w:eastAsia="Arial" w:hAnsi="Arial"/>
          <w:sz w:val="20"/>
          <w:szCs w:val="20"/>
        </w:rPr>
        <w:t xml:space="preserve">Free assessment tools: informd.co.uk/tools-assessments</w:t>
      </w:r>
    </w:p>
    <w:p>
      <w:pPr>
        <w:spacing w:after="160"/>
      </w:pPr>
      <w:r>
        <w:rPr>
          <w:rFonts w:ascii="Arial" w:cs="Arial" w:eastAsia="Arial" w:hAnsi="Arial"/>
          <w:sz w:val="20"/>
          <w:szCs w:val="20"/>
        </w:rPr>
        <w:t xml:space="preserve"/>
      </w:r>
    </w:p>
    <w:p>
      <w:pPr>
        <w:spacing w:after="160"/>
      </w:pPr>
      <w:r>
        <w:rPr>
          <w:rFonts w:ascii="Arial" w:cs="Arial" w:eastAsia="Arial" w:hAnsi="Arial"/>
          <w:i/>
          <w:iCs/>
          <w:color w:val="666666"/>
          <w:sz w:val="20"/>
          <w:szCs w:val="20"/>
        </w:rPr>
        <w:t xml:space="preserve">This document is provided for informational purposes only. It does not constitute legal advice. Legislation and regulatory rules are subject to change. Always verify current requirements with your legal and compliance advisers.</w:t>
      </w:r>
    </w:p>
    <w:sectPr>
      <w:headerReference w:type="default" r:id="rId9"/>
      <w:footerReference w:type="default" r:id="rId10"/>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rPr>
        <w:rFonts w:ascii="Arial" w:cs="Arial" w:eastAsia="Arial" w:hAnsi="Arial"/>
        <w:color w:val="666666"/>
        <w:sz w:val="16"/>
        <w:szCs w:val="16"/>
      </w:rPr>
      <w:t xml:space="preserve">INFORMD Confidential | informd.co.uk | This document is for professional use only. It does not constitute legal advice. |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rPr>
        <w:rFonts w:ascii="Arial" w:cs="Arial" w:eastAsia="Arial" w:hAnsi="Arial"/>
        <w:color w:val="666666"/>
        <w:sz w:val="16"/>
        <w:szCs w:val="16"/>
      </w:rPr>
      <w:t xml:space="preserve">INFORMD Confidential | informd.co.uk | This document is for professional use only. It does not constitute legal advice. |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2744" w:sz="6"/>
      </w:pBdr>
      <w:tabs>
        <w:tab w:val="right" w:pos="9638"/>
      </w:tabs>
    </w:pPr>
    <w:r>
      <w:rPr>
        <w:rFonts w:ascii="Arial" w:cs="Arial" w:eastAsia="Arial" w:hAnsi="Arial"/>
        <w:b/>
        <w:bCs/>
        <w:color w:val="1A2744"/>
        <w:sz w:val="18"/>
        <w:szCs w:val="18"/>
      </w:rPr>
      <w:t xml:space="preserve">INFORMD | AI Risk Appetite — Board Policy Template and Briefing</w:t>
    </w:r>
    <w:r>
      <w:rPr>
        <w:rFonts w:ascii="Arial" w:cs="Arial" w:eastAsia="Arial" w:hAnsi="Arial"/>
        <w:color w:val="1A2744"/>
        <w:sz w:val="18"/>
        <w:szCs w:val="18"/>
      </w:rPr>
      <w:t xml:space="preserve">	informd.co.uk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2744" w:sz="6"/>
      </w:pBdr>
      <w:tabs>
        <w:tab w:val="right" w:pos="9638"/>
      </w:tabs>
    </w:pPr>
    <w:r>
      <w:rPr>
        <w:rFonts w:ascii="Arial" w:cs="Arial" w:eastAsia="Arial" w:hAnsi="Arial"/>
        <w:b/>
        <w:bCs/>
        <w:color w:val="1A2744"/>
        <w:sz w:val="18"/>
        <w:szCs w:val="18"/>
      </w:rPr>
      <w:t xml:space="preserve">INFORMD | AI Risk Appetite — Board Policy Template and Briefing</w:t>
    </w:r>
    <w:r>
      <w:rPr>
        <w:rFonts w:ascii="Arial" w:cs="Arial" w:eastAsia="Arial" w:hAnsi="Arial"/>
        <w:color w:val="1A2744"/>
        <w:sz w:val="18"/>
        <w:szCs w:val="18"/>
      </w:rPr>
      <w:t xml:space="preserve">	informd.co.uk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color w:val="1A2744"/>
      <w:sz w:val="32"/>
      <w:szCs w:val="32"/>
    </w:rPr>
  </w:style>
  <w:style w:type="paragraph" w:styleId="Heading2">
    <w:name w:val="Heading 2"/>
    <w:basedOn w:val="Normal"/>
    <w:next w:val="Normal"/>
    <w:qFormat/>
    <w:pPr>
      <w:spacing w:after="180" w:before="180"/>
      <w:outlineLvl w:val="1"/>
    </w:pPr>
    <w:rPr>
      <w:rFonts w:ascii="Arial" w:cs="Arial" w:eastAsia="Arial" w:hAnsi="Arial"/>
      <w:b/>
      <w:bCs/>
      <w:color w:val="1A2744"/>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2026-07-02T22:34:16.453Z</dcterms:created>
  <dcterms:modified xsi:type="dcterms:W3CDTF">2026-07-02T22:34:16.454Z</dcterms:modified>
</cp:coreProperties>
</file>

<file path=docProps/custom.xml><?xml version="1.0" encoding="utf-8"?>
<Properties xmlns="http://schemas.openxmlformats.org/officeDocument/2006/custom-properties" xmlns:vt="http://schemas.openxmlformats.org/officeDocument/2006/docPropsVTypes"/>
</file>